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9.0 -->
  <w:body>
    <w:p w:rsidR="00904770" w:rsidRPr="00904770" w:rsidP="00904770" w14:paraId="6961CDA1" w14:textId="2A3747FC">
      <w:pPr>
        <w:pStyle w:val="NoSpacing"/>
        <w:jc w:val="center"/>
        <w:rPr>
          <w:rFonts w:ascii="Times New Roman" w:hAnsi="Times New Roman"/>
          <w:b/>
          <w:bCs/>
          <w:sz w:val="28"/>
          <w:szCs w:val="34"/>
        </w:rPr>
      </w:pPr>
      <w:bookmarkStart w:id="0" w:name="_Hlk145072315"/>
      <w:r w:rsidRPr="00904770">
        <w:rPr>
          <w:rFonts w:ascii="Times New Roman" w:hAnsi="Times New Roman"/>
          <w:b/>
          <w:bCs/>
          <w:sz w:val="28"/>
          <w:szCs w:val="34"/>
        </w:rPr>
        <w:t>THE EFFECTIVENESS OF COMMUNITY CIRCLE STRATEGY ON STUDENT</w:t>
      </w:r>
      <w:r>
        <w:rPr>
          <w:rFonts w:ascii="Times New Roman" w:hAnsi="Times New Roman"/>
          <w:b/>
          <w:bCs/>
          <w:sz w:val="28"/>
          <w:szCs w:val="34"/>
        </w:rPr>
        <w:t>’</w:t>
      </w:r>
      <w:r w:rsidRPr="00904770">
        <w:rPr>
          <w:rFonts w:ascii="Times New Roman" w:hAnsi="Times New Roman"/>
          <w:b/>
          <w:bCs/>
          <w:sz w:val="28"/>
          <w:szCs w:val="34"/>
        </w:rPr>
        <w:t>S ENGLISH SPEAKING</w:t>
      </w:r>
      <w:r>
        <w:rPr>
          <w:rFonts w:ascii="Times New Roman" w:hAnsi="Times New Roman"/>
          <w:b/>
          <w:bCs/>
          <w:sz w:val="28"/>
          <w:szCs w:val="34"/>
        </w:rPr>
        <w:t xml:space="preserve"> </w:t>
      </w:r>
      <w:r w:rsidRPr="00904770">
        <w:rPr>
          <w:rFonts w:ascii="Times New Roman" w:hAnsi="Times New Roman"/>
          <w:b/>
          <w:bCs/>
          <w:sz w:val="28"/>
          <w:szCs w:val="34"/>
        </w:rPr>
        <w:t>SKILL</w:t>
      </w:r>
      <w:r>
        <w:rPr>
          <w:rFonts w:ascii="Times New Roman" w:hAnsi="Times New Roman"/>
          <w:b/>
          <w:bCs/>
          <w:sz w:val="28"/>
          <w:szCs w:val="34"/>
        </w:rPr>
        <w:t>S</w:t>
      </w:r>
      <w:r w:rsidRPr="00904770">
        <w:rPr>
          <w:rFonts w:ascii="Times New Roman" w:hAnsi="Times New Roman"/>
          <w:b/>
          <w:bCs/>
          <w:sz w:val="28"/>
          <w:szCs w:val="34"/>
        </w:rPr>
        <w:t xml:space="preserve"> OF THE TENTH GRADE AT MA ALBALAGH BULUTIGO</w:t>
      </w:r>
    </w:p>
    <w:p w:rsidR="00CD6AA1" w:rsidRPr="0045091C" w:rsidP="00CD6AA1" w14:paraId="43959BF3" w14:textId="091D0145">
      <w:pPr>
        <w:pStyle w:val="NoSpacing"/>
        <w:jc w:val="center"/>
        <w:rPr>
          <w:rFonts w:ascii="Times New Roman" w:hAnsi="Times New Roman"/>
          <w:b/>
          <w:sz w:val="28"/>
          <w:szCs w:val="34"/>
        </w:rPr>
      </w:pPr>
    </w:p>
    <w:bookmarkEnd w:id="0"/>
    <w:p w:rsidR="009051CE" w:rsidRPr="009051CE" w:rsidP="009051CE" w14:paraId="5CCBDB64" w14:textId="77777777">
      <w:pPr>
        <w:spacing w:after="0" w:line="240" w:lineRule="auto"/>
        <w:jc w:val="center"/>
        <w:rPr>
          <w:rFonts w:ascii="Times New Roman" w:hAnsi="Times New Roman"/>
          <w:color w:val="000000"/>
          <w:sz w:val="24"/>
          <w:szCs w:val="24"/>
          <w:vertAlign w:val="superscript"/>
        </w:rPr>
      </w:pPr>
      <w:r w:rsidRPr="009051CE">
        <w:rPr>
          <w:rFonts w:ascii="Times New Roman" w:hAnsi="Times New Roman"/>
          <w:color w:val="000000"/>
          <w:sz w:val="24"/>
          <w:szCs w:val="24"/>
        </w:rPr>
        <w:t>Siti Nor Khofifah</w:t>
      </w:r>
      <w:r w:rsidRPr="009051CE">
        <w:rPr>
          <w:rFonts w:ascii="Times New Roman" w:hAnsi="Times New Roman"/>
          <w:color w:val="000000"/>
          <w:sz w:val="24"/>
          <w:szCs w:val="24"/>
          <w:vertAlign w:val="superscript"/>
        </w:rPr>
        <w:t>1</w:t>
      </w:r>
      <w:r w:rsidRPr="009051CE">
        <w:rPr>
          <w:rFonts w:ascii="Times New Roman" w:hAnsi="Times New Roman"/>
          <w:color w:val="000000"/>
          <w:sz w:val="24"/>
          <w:szCs w:val="24"/>
        </w:rPr>
        <w:t>, Moh. Arifin</w:t>
      </w:r>
      <w:r w:rsidRPr="009051CE">
        <w:rPr>
          <w:rFonts w:ascii="Times New Roman" w:hAnsi="Times New Roman"/>
          <w:color w:val="000000"/>
          <w:sz w:val="24"/>
          <w:szCs w:val="24"/>
          <w:vertAlign w:val="superscript"/>
        </w:rPr>
        <w:t>2</w:t>
      </w:r>
      <w:r w:rsidRPr="009051CE">
        <w:rPr>
          <w:rFonts w:ascii="Times New Roman" w:hAnsi="Times New Roman"/>
          <w:color w:val="000000"/>
          <w:sz w:val="24"/>
          <w:szCs w:val="24"/>
        </w:rPr>
        <w:t>, M. Labib Al Halim</w:t>
      </w:r>
      <w:r w:rsidRPr="009051CE">
        <w:rPr>
          <w:rFonts w:ascii="Times New Roman" w:hAnsi="Times New Roman"/>
          <w:color w:val="000000"/>
          <w:sz w:val="24"/>
          <w:szCs w:val="24"/>
          <w:vertAlign w:val="superscript"/>
        </w:rPr>
        <w:t>3</w:t>
      </w:r>
    </w:p>
    <w:p w:rsidR="000121B0" w:rsidP="009051CE" w14:paraId="4F99D3AE" w14:textId="47930062">
      <w:pPr>
        <w:spacing w:after="0" w:line="240" w:lineRule="auto"/>
        <w:jc w:val="center"/>
        <w:rPr>
          <w:rFonts w:ascii="Times New Roman" w:hAnsi="Times New Roman"/>
          <w:color w:val="000000"/>
          <w:sz w:val="24"/>
          <w:szCs w:val="24"/>
        </w:rPr>
      </w:pPr>
      <w:r w:rsidRPr="009051CE">
        <w:rPr>
          <w:rFonts w:ascii="Times New Roman" w:hAnsi="Times New Roman"/>
          <w:color w:val="000000"/>
          <w:sz w:val="24"/>
          <w:szCs w:val="24"/>
          <w:vertAlign w:val="superscript"/>
        </w:rPr>
        <w:t>1,2,3</w:t>
      </w:r>
      <w:r w:rsidRPr="009051CE">
        <w:rPr>
          <w:rFonts w:ascii="Times New Roman" w:hAnsi="Times New Roman"/>
          <w:color w:val="000000"/>
          <w:sz w:val="24"/>
          <w:szCs w:val="24"/>
        </w:rPr>
        <w:t xml:space="preserve">Universitas </w:t>
      </w:r>
      <w:r w:rsidRPr="009051CE">
        <w:rPr>
          <w:rFonts w:ascii="Times New Roman" w:hAnsi="Times New Roman"/>
          <w:color w:val="000000"/>
          <w:sz w:val="24"/>
          <w:szCs w:val="24"/>
        </w:rPr>
        <w:t>Billfath</w:t>
      </w:r>
      <w:r w:rsidRPr="009051CE">
        <w:rPr>
          <w:rFonts w:ascii="Times New Roman" w:hAnsi="Times New Roman"/>
          <w:color w:val="000000"/>
          <w:sz w:val="24"/>
          <w:szCs w:val="24"/>
        </w:rPr>
        <w:t xml:space="preserve"> </w:t>
      </w:r>
      <w:r w:rsidRPr="009051CE">
        <w:rPr>
          <w:rFonts w:ascii="Times New Roman" w:hAnsi="Times New Roman"/>
          <w:color w:val="000000"/>
          <w:sz w:val="24"/>
          <w:szCs w:val="24"/>
        </w:rPr>
        <w:t>Lamongan</w:t>
      </w:r>
      <w:r w:rsidRPr="009051CE">
        <w:rPr>
          <w:rFonts w:ascii="Times New Roman" w:hAnsi="Times New Roman"/>
          <w:color w:val="000000"/>
          <w:sz w:val="24"/>
          <w:szCs w:val="24"/>
        </w:rPr>
        <w:t xml:space="preserve"> </w:t>
      </w:r>
    </w:p>
    <w:p w:rsidR="009051CE" w:rsidRPr="009051CE" w:rsidP="009051CE" w14:paraId="44D0FADC" w14:textId="77777777">
      <w:pPr>
        <w:spacing w:after="0" w:line="240" w:lineRule="auto"/>
        <w:jc w:val="center"/>
        <w:rPr>
          <w:rFonts w:ascii="Times New Roman" w:hAnsi="Times New Roman"/>
          <w:color w:val="000000"/>
          <w:sz w:val="24"/>
          <w:szCs w:val="24"/>
        </w:rPr>
      </w:pPr>
    </w:p>
    <w:tbl>
      <w:tblPr>
        <w:tblW w:w="0" w:type="auto"/>
        <w:tblInd w:w="108" w:type="dxa"/>
        <w:tblLook w:val="04A0"/>
      </w:tblPr>
      <w:tblGrid>
        <w:gridCol w:w="2220"/>
        <w:gridCol w:w="5609"/>
      </w:tblGrid>
      <w:tr w14:paraId="114418DA" w14:textId="77777777" w:rsidTr="00941470">
        <w:tblPrEx>
          <w:tblW w:w="0" w:type="auto"/>
          <w:tblInd w:w="108" w:type="dxa"/>
          <w:tblLook w:val="04A0"/>
        </w:tblPrEx>
        <w:tc>
          <w:tcPr>
            <w:tcW w:w="2326" w:type="dxa"/>
            <w:shd w:val="clear" w:color="auto" w:fill="auto"/>
          </w:tcPr>
          <w:p w:rsidR="003C3C52" w:rsidRPr="007E5549" w:rsidP="00B34450" w14:paraId="3C19D1F7" w14:textId="77777777">
            <w:pPr>
              <w:pStyle w:val="NoSpacing"/>
              <w:rPr>
                <w:rFonts w:ascii="Times New Roman" w:hAnsi="Times New Roman"/>
                <w:b/>
              </w:rPr>
            </w:pPr>
            <w:r w:rsidRPr="007E5549">
              <w:rPr>
                <w:rFonts w:ascii="Times New Roman" w:hAnsi="Times New Roman"/>
                <w:b/>
              </w:rPr>
              <w:t>INFO ARTIKEL</w:t>
            </w:r>
          </w:p>
        </w:tc>
        <w:tc>
          <w:tcPr>
            <w:tcW w:w="6179" w:type="dxa"/>
            <w:shd w:val="clear" w:color="auto" w:fill="auto"/>
          </w:tcPr>
          <w:p w:rsidR="003C3C52" w:rsidRPr="00821A2C" w:rsidP="00CD0A43" w14:paraId="4598C82C" w14:textId="77777777">
            <w:pPr>
              <w:pStyle w:val="NoSpacing"/>
              <w:rPr>
                <w:rFonts w:ascii="Times New Roman" w:hAnsi="Times New Roman"/>
              </w:rPr>
            </w:pPr>
          </w:p>
        </w:tc>
      </w:tr>
      <w:tr w14:paraId="6FBA51E8" w14:textId="77777777" w:rsidTr="0028799C">
        <w:tblPrEx>
          <w:tblW w:w="0" w:type="auto"/>
          <w:tblInd w:w="108" w:type="dxa"/>
          <w:tblLook w:val="04A0"/>
        </w:tblPrEx>
        <w:trPr>
          <w:trHeight w:val="997"/>
        </w:trPr>
        <w:tc>
          <w:tcPr>
            <w:tcW w:w="2326" w:type="dxa"/>
            <w:tcBorders>
              <w:bottom w:val="single" w:sz="4" w:space="0" w:color="auto"/>
            </w:tcBorders>
            <w:shd w:val="clear" w:color="auto" w:fill="auto"/>
          </w:tcPr>
          <w:p w:rsidR="00B34450" w:rsidRPr="006567F0" w:rsidP="00B34450" w14:paraId="7AEF16EE" w14:textId="77777777">
            <w:pPr>
              <w:pStyle w:val="NoSpacing"/>
              <w:rPr>
                <w:rFonts w:ascii="Times New Roman" w:hAnsi="Times New Roman"/>
                <w:lang w:val="id-ID"/>
              </w:rPr>
            </w:pPr>
            <w:r w:rsidRPr="006567F0">
              <w:rPr>
                <w:rFonts w:ascii="Times New Roman" w:hAnsi="Times New Roman"/>
              </w:rPr>
              <w:t>Diterima</w:t>
            </w:r>
            <w:r w:rsidRPr="006567F0">
              <w:rPr>
                <w:rFonts w:ascii="Times New Roman" w:hAnsi="Times New Roman"/>
                <w:lang w:val="id-ID"/>
              </w:rPr>
              <w:t xml:space="preserve"> </w:t>
            </w:r>
            <w:r w:rsidRPr="006567F0">
              <w:rPr>
                <w:rFonts w:ascii="Times New Roman" w:hAnsi="Times New Roman"/>
              </w:rPr>
              <w:t>:</w:t>
            </w:r>
            <w:r w:rsidRPr="006567F0">
              <w:rPr>
                <w:rFonts w:ascii="Times New Roman" w:hAnsi="Times New Roman"/>
                <w:lang w:val="id-ID"/>
              </w:rPr>
              <w:t xml:space="preserve"> </w:t>
            </w:r>
          </w:p>
          <w:p w:rsidR="00B34450" w:rsidRPr="003D5AB8" w:rsidP="00B34450" w14:paraId="414FA1D8" w14:textId="4FFB5435">
            <w:pPr>
              <w:pStyle w:val="NoSpacing"/>
              <w:rPr>
                <w:rFonts w:ascii="Times New Roman" w:hAnsi="Times New Roman"/>
              </w:rPr>
            </w:pPr>
            <w:r>
              <w:rPr>
                <w:rFonts w:ascii="Times New Roman" w:hAnsi="Times New Roman"/>
              </w:rPr>
              <w:t>1</w:t>
            </w:r>
            <w:r w:rsidR="009051CE">
              <w:rPr>
                <w:rFonts w:ascii="Times New Roman" w:hAnsi="Times New Roman"/>
              </w:rPr>
              <w:t>0</w:t>
            </w:r>
            <w:r w:rsidRPr="006567F0">
              <w:rPr>
                <w:rFonts w:ascii="Times New Roman" w:hAnsi="Times New Roman"/>
                <w:lang w:val="id-ID"/>
              </w:rPr>
              <w:t xml:space="preserve"> </w:t>
            </w:r>
            <w:r>
              <w:rPr>
                <w:rFonts w:ascii="Times New Roman" w:hAnsi="Times New Roman"/>
              </w:rPr>
              <w:t>Juli</w:t>
            </w:r>
            <w:r w:rsidRPr="006567F0">
              <w:rPr>
                <w:rFonts w:ascii="Times New Roman" w:hAnsi="Times New Roman"/>
                <w:lang w:val="id-ID"/>
              </w:rPr>
              <w:t xml:space="preserve"> 202</w:t>
            </w:r>
            <w:r w:rsidR="009051CE">
              <w:rPr>
                <w:rFonts w:ascii="Times New Roman" w:hAnsi="Times New Roman"/>
              </w:rPr>
              <w:t>4</w:t>
            </w:r>
          </w:p>
          <w:p w:rsidR="00B34450" w:rsidP="00B34450" w14:paraId="2700BF33" w14:textId="77777777">
            <w:pPr>
              <w:pStyle w:val="NoSpacing"/>
              <w:rPr>
                <w:rFonts w:ascii="Times New Roman" w:hAnsi="Times New Roman"/>
              </w:rPr>
            </w:pPr>
          </w:p>
          <w:p w:rsidR="00B34450" w:rsidRPr="006567F0" w:rsidP="00B34450" w14:paraId="62B3D84C" w14:textId="77777777">
            <w:pPr>
              <w:pStyle w:val="NoSpacing"/>
              <w:rPr>
                <w:rFonts w:ascii="Times New Roman" w:hAnsi="Times New Roman"/>
                <w:lang w:val="id-ID"/>
              </w:rPr>
            </w:pPr>
            <w:r w:rsidRPr="006567F0">
              <w:rPr>
                <w:rFonts w:ascii="Times New Roman" w:hAnsi="Times New Roman"/>
              </w:rPr>
              <w:t>Disetujui</w:t>
            </w:r>
            <w:r w:rsidRPr="006567F0">
              <w:rPr>
                <w:rFonts w:ascii="Times New Roman" w:hAnsi="Times New Roman"/>
                <w:lang w:val="id-ID"/>
              </w:rPr>
              <w:t xml:space="preserve"> </w:t>
            </w:r>
            <w:r w:rsidRPr="006567F0">
              <w:rPr>
                <w:rFonts w:ascii="Times New Roman" w:hAnsi="Times New Roman"/>
              </w:rPr>
              <w:t>:</w:t>
            </w:r>
            <w:r w:rsidRPr="006567F0">
              <w:rPr>
                <w:rFonts w:ascii="Times New Roman" w:hAnsi="Times New Roman"/>
                <w:lang w:val="id-ID"/>
              </w:rPr>
              <w:t xml:space="preserve"> </w:t>
            </w:r>
          </w:p>
          <w:p w:rsidR="00B34450" w:rsidRPr="006567F0" w:rsidP="00B34450" w14:paraId="287DD478" w14:textId="5CF2A4B4">
            <w:pPr>
              <w:pStyle w:val="NoSpacing"/>
              <w:rPr>
                <w:rFonts w:ascii="Times New Roman" w:hAnsi="Times New Roman"/>
                <w:lang w:val="id-ID"/>
              </w:rPr>
            </w:pPr>
            <w:r>
              <w:rPr>
                <w:rFonts w:ascii="Times New Roman" w:hAnsi="Times New Roman"/>
              </w:rPr>
              <w:t>10</w:t>
            </w:r>
            <w:r>
              <w:rPr>
                <w:rFonts w:ascii="Times New Roman" w:hAnsi="Times New Roman"/>
              </w:rPr>
              <w:t xml:space="preserve"> Agustus</w:t>
            </w:r>
            <w:r w:rsidRPr="006567F0">
              <w:rPr>
                <w:rFonts w:ascii="Times New Roman" w:hAnsi="Times New Roman"/>
                <w:lang w:val="id-ID"/>
              </w:rPr>
              <w:t xml:space="preserve"> 202</w:t>
            </w:r>
            <w:r>
              <w:rPr>
                <w:rFonts w:ascii="Times New Roman" w:hAnsi="Times New Roman"/>
                <w:lang w:val="id-ID"/>
              </w:rPr>
              <w:t>4</w:t>
            </w:r>
          </w:p>
          <w:p w:rsidR="00B34450" w:rsidRPr="006567F0" w:rsidP="00B34450" w14:paraId="7E4CD8E8" w14:textId="77777777">
            <w:pPr>
              <w:pStyle w:val="NoSpacing"/>
              <w:rPr>
                <w:rFonts w:ascii="Times New Roman" w:hAnsi="Times New Roman"/>
                <w:lang w:val="id-ID"/>
              </w:rPr>
            </w:pPr>
            <w:r w:rsidRPr="006567F0">
              <w:rPr>
                <w:rFonts w:ascii="Times New Roman" w:hAnsi="Times New Roman"/>
                <w:lang w:val="id-ID"/>
              </w:rPr>
              <w:t xml:space="preserve">Dipublikasikan : </w:t>
            </w:r>
          </w:p>
          <w:p w:rsidR="00B34450" w:rsidRPr="006567F0" w:rsidP="00B34450" w14:paraId="652A29E6" w14:textId="5F728631">
            <w:pPr>
              <w:pStyle w:val="NoSpacing"/>
              <w:rPr>
                <w:rFonts w:ascii="Times New Roman" w:hAnsi="Times New Roman"/>
                <w:lang w:val="id-ID"/>
              </w:rPr>
            </w:pPr>
            <w:r>
              <w:rPr>
                <w:rFonts w:ascii="Times New Roman" w:hAnsi="Times New Roman"/>
              </w:rPr>
              <w:t>20</w:t>
            </w:r>
            <w:r w:rsidRPr="006567F0">
              <w:rPr>
                <w:rFonts w:ascii="Times New Roman" w:hAnsi="Times New Roman"/>
                <w:lang w:val="id-ID"/>
              </w:rPr>
              <w:t xml:space="preserve"> </w:t>
            </w:r>
            <w:r>
              <w:rPr>
                <w:rFonts w:ascii="Times New Roman" w:hAnsi="Times New Roman"/>
              </w:rPr>
              <w:t>September</w:t>
            </w:r>
            <w:r w:rsidRPr="006567F0">
              <w:rPr>
                <w:rFonts w:ascii="Times New Roman" w:hAnsi="Times New Roman"/>
                <w:lang w:val="id-ID"/>
              </w:rPr>
              <w:t xml:space="preserve"> 202</w:t>
            </w:r>
            <w:r>
              <w:rPr>
                <w:rFonts w:ascii="Times New Roman" w:hAnsi="Times New Roman"/>
                <w:lang w:val="id-ID"/>
              </w:rPr>
              <w:t>4</w:t>
            </w:r>
          </w:p>
          <w:p w:rsidR="00513FC4" w:rsidP="00BD4C43" w14:paraId="6D4CA5BB" w14:textId="77777777">
            <w:pPr>
              <w:pStyle w:val="NoSpacing"/>
              <w:rPr>
                <w:rFonts w:ascii="Times New Roman" w:hAnsi="Times New Roman"/>
                <w:lang w:val="id-ID"/>
              </w:rPr>
            </w:pPr>
          </w:p>
          <w:p w:rsidR="00CD6AA1" w:rsidRPr="006567F0" w:rsidP="00BD4C43" w14:paraId="307EF0EB" w14:textId="77777777">
            <w:pPr>
              <w:pStyle w:val="NoSpacing"/>
              <w:rPr>
                <w:rFonts w:ascii="Times New Roman" w:hAnsi="Times New Roman"/>
                <w:lang w:val="id-ID"/>
              </w:rPr>
            </w:pPr>
          </w:p>
          <w:p w:rsidR="00513FC4" w:rsidRPr="006567F0" w:rsidP="00BD4C43" w14:paraId="10ED3620" w14:textId="77777777">
            <w:pPr>
              <w:pStyle w:val="NoSpacing"/>
              <w:rPr>
                <w:rFonts w:ascii="Times New Roman" w:hAnsi="Times New Roman"/>
                <w:lang w:val="id-ID"/>
              </w:rPr>
            </w:pPr>
          </w:p>
          <w:p w:rsidR="00513FC4" w:rsidRPr="006567F0" w:rsidP="00BD4C43" w14:paraId="7742196D" w14:textId="77777777">
            <w:pPr>
              <w:pStyle w:val="NoSpacing"/>
              <w:rPr>
                <w:rFonts w:ascii="Times New Roman" w:hAnsi="Times New Roman"/>
                <w:lang w:val="id-ID"/>
              </w:rPr>
            </w:pPr>
          </w:p>
          <w:p w:rsidR="00513FC4" w:rsidRPr="006567F0" w:rsidP="00BD4C43" w14:paraId="3DD66674" w14:textId="77777777">
            <w:pPr>
              <w:pStyle w:val="NoSpacing"/>
              <w:rPr>
                <w:rFonts w:ascii="Times New Roman" w:hAnsi="Times New Roman"/>
                <w:lang w:val="id-ID"/>
              </w:rPr>
            </w:pPr>
          </w:p>
          <w:p w:rsidR="00513FC4" w:rsidP="00BD4C43" w14:paraId="652553B8" w14:textId="77777777">
            <w:pPr>
              <w:pStyle w:val="NoSpacing"/>
              <w:rPr>
                <w:rFonts w:ascii="Times New Roman" w:hAnsi="Times New Roman"/>
                <w:lang w:val="id-ID"/>
              </w:rPr>
            </w:pPr>
          </w:p>
          <w:p w:rsidR="00CD6AA1" w:rsidP="00BD4C43" w14:paraId="6409A30B" w14:textId="77777777">
            <w:pPr>
              <w:pStyle w:val="NoSpacing"/>
              <w:rPr>
                <w:rFonts w:ascii="Times New Roman" w:hAnsi="Times New Roman"/>
                <w:lang w:val="id-ID"/>
              </w:rPr>
            </w:pPr>
          </w:p>
          <w:p w:rsidR="00CD6AA1" w:rsidP="00BD4C43" w14:paraId="60C0B7BC" w14:textId="77777777">
            <w:pPr>
              <w:pStyle w:val="NoSpacing"/>
              <w:rPr>
                <w:rFonts w:ascii="Times New Roman" w:hAnsi="Times New Roman"/>
                <w:lang w:val="id-ID"/>
              </w:rPr>
            </w:pPr>
          </w:p>
          <w:p w:rsidR="00CD6AA1" w:rsidP="00BD4C43" w14:paraId="5C557FDC" w14:textId="77777777">
            <w:pPr>
              <w:pStyle w:val="NoSpacing"/>
              <w:rPr>
                <w:rFonts w:ascii="Times New Roman" w:hAnsi="Times New Roman"/>
                <w:lang w:val="id-ID"/>
              </w:rPr>
            </w:pPr>
          </w:p>
          <w:p w:rsidR="00CD6AA1" w:rsidP="00BD4C43" w14:paraId="57170F96" w14:textId="77777777">
            <w:pPr>
              <w:pStyle w:val="NoSpacing"/>
              <w:rPr>
                <w:rFonts w:ascii="Times New Roman" w:hAnsi="Times New Roman"/>
                <w:lang w:val="id-ID"/>
              </w:rPr>
            </w:pPr>
          </w:p>
          <w:p w:rsidR="00CD6AA1" w:rsidP="00BD4C43" w14:paraId="2ABDC037" w14:textId="77777777">
            <w:pPr>
              <w:pStyle w:val="NoSpacing"/>
              <w:rPr>
                <w:rFonts w:ascii="Times New Roman" w:hAnsi="Times New Roman"/>
                <w:lang w:val="id-ID"/>
              </w:rPr>
            </w:pPr>
          </w:p>
          <w:p w:rsidR="00CD6AA1" w:rsidRPr="006567F0" w:rsidP="00BD4C43" w14:paraId="77E7521C" w14:textId="77777777">
            <w:pPr>
              <w:pStyle w:val="NoSpacing"/>
              <w:rPr>
                <w:rFonts w:ascii="Times New Roman" w:hAnsi="Times New Roman"/>
                <w:lang w:val="id-ID"/>
              </w:rPr>
            </w:pPr>
          </w:p>
          <w:p w:rsidR="00513FC4" w:rsidRPr="006567F0" w:rsidP="00BD4C43" w14:paraId="0045F689" w14:textId="77777777">
            <w:pPr>
              <w:pStyle w:val="NoSpacing"/>
              <w:rPr>
                <w:rFonts w:ascii="Times New Roman" w:hAnsi="Times New Roman"/>
                <w:lang w:val="id-ID"/>
              </w:rPr>
            </w:pPr>
          </w:p>
          <w:p w:rsidR="00513FC4" w:rsidRPr="006567F0" w:rsidP="00BD4C43" w14:paraId="170F8AB6" w14:textId="77777777">
            <w:pPr>
              <w:pStyle w:val="NoSpacing"/>
              <w:rPr>
                <w:rFonts w:ascii="Times New Roman" w:hAnsi="Times New Roman"/>
                <w:lang w:val="id-ID"/>
              </w:rPr>
            </w:pPr>
          </w:p>
          <w:p w:rsidR="000121B0" w:rsidRPr="006567F0" w:rsidP="00BD4C43" w14:paraId="4A4930A6" w14:textId="77777777">
            <w:pPr>
              <w:pStyle w:val="NoSpacing"/>
              <w:rPr>
                <w:rFonts w:ascii="Times New Roman" w:hAnsi="Times New Roman"/>
                <w:lang w:val="id-ID"/>
              </w:rPr>
            </w:pPr>
          </w:p>
          <w:p w:rsidR="00513FC4" w:rsidRPr="006567F0" w:rsidP="00BD4C43" w14:paraId="74DC31EA" w14:textId="77777777">
            <w:pPr>
              <w:pStyle w:val="NoSpacing"/>
              <w:rPr>
                <w:rFonts w:ascii="Times New Roman" w:hAnsi="Times New Roman"/>
                <w:lang w:val="id-ID"/>
              </w:rPr>
            </w:pPr>
          </w:p>
        </w:tc>
        <w:tc>
          <w:tcPr>
            <w:tcW w:w="6179" w:type="dxa"/>
            <w:vMerge w:val="restart"/>
            <w:shd w:val="clear" w:color="auto" w:fill="auto"/>
          </w:tcPr>
          <w:p w:rsidR="00513FC4" w:rsidP="00821A2C" w14:paraId="3E73D9B7" w14:textId="77777777">
            <w:pPr>
              <w:pStyle w:val="NoSpacing"/>
              <w:jc w:val="both"/>
              <w:rPr>
                <w:rFonts w:ascii="Times New Roman" w:hAnsi="Times New Roman"/>
                <w:lang w:val="id-ID"/>
              </w:rPr>
            </w:pPr>
            <w:r w:rsidRPr="00821A2C">
              <w:rPr>
                <w:rFonts w:ascii="Times New Roman" w:hAnsi="Times New Roman"/>
                <w:b/>
              </w:rPr>
              <w:t>Abstrak</w:t>
            </w:r>
            <w:r w:rsidRPr="00821A2C">
              <w:rPr>
                <w:rFonts w:ascii="Times New Roman" w:hAnsi="Times New Roman"/>
              </w:rPr>
              <w:t xml:space="preserve">: </w:t>
            </w:r>
          </w:p>
          <w:p w:rsidR="00CD6AA1" w:rsidRPr="00CD6AA1" w:rsidP="009051CE" w14:paraId="7D74171F" w14:textId="72DC3420">
            <w:pPr>
              <w:pBdr>
                <w:top w:val="nil"/>
                <w:left w:val="nil"/>
                <w:bottom w:val="nil"/>
                <w:right w:val="nil"/>
                <w:between w:val="nil"/>
              </w:pBdr>
              <w:spacing w:after="0" w:line="240" w:lineRule="auto"/>
              <w:jc w:val="both"/>
              <w:rPr>
                <w:rFonts w:ascii="Times New Roman" w:hAnsi="Times New Roman"/>
                <w:i/>
              </w:rPr>
            </w:pPr>
            <w:r w:rsidRPr="009051CE">
              <w:rPr>
                <w:rFonts w:ascii="Times New Roman" w:hAnsi="Times New Roman"/>
                <w:i/>
              </w:rPr>
              <w:t>Penelitian</w:t>
            </w:r>
            <w:r w:rsidRPr="009051CE">
              <w:rPr>
                <w:rFonts w:ascii="Times New Roman" w:hAnsi="Times New Roman"/>
                <w:i/>
              </w:rPr>
              <w:t xml:space="preserve"> </w:t>
            </w:r>
            <w:r w:rsidRPr="009051CE">
              <w:rPr>
                <w:rFonts w:ascii="Times New Roman" w:hAnsi="Times New Roman"/>
                <w:i/>
              </w:rPr>
              <w:t>ini</w:t>
            </w:r>
            <w:r w:rsidRPr="009051CE">
              <w:rPr>
                <w:rFonts w:ascii="Times New Roman" w:hAnsi="Times New Roman"/>
                <w:i/>
              </w:rPr>
              <w:t xml:space="preserve"> </w:t>
            </w:r>
            <w:r w:rsidRPr="009051CE">
              <w:rPr>
                <w:rFonts w:ascii="Times New Roman" w:hAnsi="Times New Roman"/>
                <w:i/>
              </w:rPr>
              <w:t>bertujuan</w:t>
            </w:r>
            <w:r w:rsidRPr="009051CE">
              <w:rPr>
                <w:rFonts w:ascii="Times New Roman" w:hAnsi="Times New Roman"/>
                <w:i/>
              </w:rPr>
              <w:t xml:space="preserve"> </w:t>
            </w:r>
            <w:r w:rsidRPr="009051CE">
              <w:rPr>
                <w:rFonts w:ascii="Times New Roman" w:hAnsi="Times New Roman"/>
                <w:i/>
              </w:rPr>
              <w:t>untuk</w:t>
            </w:r>
            <w:r w:rsidRPr="009051CE">
              <w:rPr>
                <w:rFonts w:ascii="Times New Roman" w:hAnsi="Times New Roman"/>
                <w:i/>
              </w:rPr>
              <w:t xml:space="preserve"> </w:t>
            </w:r>
            <w:r w:rsidRPr="009051CE">
              <w:rPr>
                <w:rFonts w:ascii="Times New Roman" w:hAnsi="Times New Roman"/>
                <w:i/>
              </w:rPr>
              <w:t>mengevaluasi</w:t>
            </w:r>
            <w:r w:rsidRPr="009051CE">
              <w:rPr>
                <w:rFonts w:ascii="Times New Roman" w:hAnsi="Times New Roman"/>
                <w:i/>
              </w:rPr>
              <w:t xml:space="preserve"> </w:t>
            </w:r>
            <w:r w:rsidRPr="009051CE">
              <w:rPr>
                <w:rFonts w:ascii="Times New Roman" w:hAnsi="Times New Roman"/>
                <w:i/>
              </w:rPr>
              <w:t>efektivitas</w:t>
            </w:r>
            <w:r w:rsidRPr="009051CE">
              <w:rPr>
                <w:rFonts w:ascii="Times New Roman" w:hAnsi="Times New Roman"/>
                <w:i/>
              </w:rPr>
              <w:t xml:space="preserve"> Community Circle Strategy </w:t>
            </w:r>
            <w:r w:rsidRPr="009051CE">
              <w:rPr>
                <w:rFonts w:ascii="Times New Roman" w:hAnsi="Times New Roman"/>
                <w:i/>
              </w:rPr>
              <w:t>dalam</w:t>
            </w:r>
            <w:r w:rsidRPr="009051CE">
              <w:rPr>
                <w:rFonts w:ascii="Times New Roman" w:hAnsi="Times New Roman"/>
                <w:i/>
              </w:rPr>
              <w:t xml:space="preserve"> </w:t>
            </w:r>
            <w:r w:rsidRPr="009051CE">
              <w:rPr>
                <w:rFonts w:ascii="Times New Roman" w:hAnsi="Times New Roman"/>
                <w:i/>
              </w:rPr>
              <w:t>meningkatkan</w:t>
            </w:r>
            <w:r w:rsidRPr="009051CE">
              <w:rPr>
                <w:rFonts w:ascii="Times New Roman" w:hAnsi="Times New Roman"/>
                <w:i/>
              </w:rPr>
              <w:t xml:space="preserve"> </w:t>
            </w:r>
            <w:r w:rsidRPr="009051CE">
              <w:rPr>
                <w:rFonts w:ascii="Times New Roman" w:hAnsi="Times New Roman"/>
                <w:i/>
              </w:rPr>
              <w:t>kemampuan</w:t>
            </w:r>
            <w:r w:rsidRPr="009051CE">
              <w:rPr>
                <w:rFonts w:ascii="Times New Roman" w:hAnsi="Times New Roman"/>
                <w:i/>
              </w:rPr>
              <w:t xml:space="preserve"> </w:t>
            </w:r>
            <w:r w:rsidRPr="009051CE">
              <w:rPr>
                <w:rFonts w:ascii="Times New Roman" w:hAnsi="Times New Roman"/>
                <w:i/>
              </w:rPr>
              <w:t>berbicara</w:t>
            </w:r>
            <w:r w:rsidRPr="009051CE">
              <w:rPr>
                <w:rFonts w:ascii="Times New Roman" w:hAnsi="Times New Roman"/>
                <w:i/>
              </w:rPr>
              <w:t xml:space="preserve"> Bahasa </w:t>
            </w:r>
            <w:r w:rsidRPr="009051CE">
              <w:rPr>
                <w:rFonts w:ascii="Times New Roman" w:hAnsi="Times New Roman"/>
                <w:i/>
              </w:rPr>
              <w:t>Inggris</w:t>
            </w:r>
            <w:r w:rsidRPr="009051CE">
              <w:rPr>
                <w:rFonts w:ascii="Times New Roman" w:hAnsi="Times New Roman"/>
                <w:i/>
              </w:rPr>
              <w:t xml:space="preserve"> </w:t>
            </w:r>
            <w:r w:rsidRPr="009051CE">
              <w:rPr>
                <w:rFonts w:ascii="Times New Roman" w:hAnsi="Times New Roman"/>
                <w:i/>
              </w:rPr>
              <w:t>siswa</w:t>
            </w:r>
            <w:r w:rsidRPr="009051CE">
              <w:rPr>
                <w:rFonts w:ascii="Times New Roman" w:hAnsi="Times New Roman"/>
                <w:i/>
              </w:rPr>
              <w:t xml:space="preserve"> di MA Al Balagh </w:t>
            </w:r>
            <w:r w:rsidRPr="009051CE">
              <w:rPr>
                <w:rFonts w:ascii="Times New Roman" w:hAnsi="Times New Roman"/>
                <w:i/>
              </w:rPr>
              <w:t>Bulutigo</w:t>
            </w:r>
            <w:r w:rsidRPr="009051CE">
              <w:rPr>
                <w:rFonts w:ascii="Times New Roman" w:hAnsi="Times New Roman"/>
                <w:i/>
              </w:rPr>
              <w:t xml:space="preserve">. </w:t>
            </w:r>
            <w:r w:rsidRPr="009051CE">
              <w:rPr>
                <w:rFonts w:ascii="Times New Roman" w:hAnsi="Times New Roman"/>
                <w:i/>
              </w:rPr>
              <w:t>Penelitian</w:t>
            </w:r>
            <w:r w:rsidRPr="009051CE">
              <w:rPr>
                <w:rFonts w:ascii="Times New Roman" w:hAnsi="Times New Roman"/>
                <w:i/>
              </w:rPr>
              <w:t xml:space="preserve"> </w:t>
            </w:r>
            <w:r w:rsidRPr="009051CE">
              <w:rPr>
                <w:rFonts w:ascii="Times New Roman" w:hAnsi="Times New Roman"/>
                <w:i/>
              </w:rPr>
              <w:t>ini</w:t>
            </w:r>
            <w:r w:rsidRPr="009051CE">
              <w:rPr>
                <w:rFonts w:ascii="Times New Roman" w:hAnsi="Times New Roman"/>
                <w:i/>
              </w:rPr>
              <w:t xml:space="preserve"> </w:t>
            </w:r>
            <w:r w:rsidRPr="009051CE">
              <w:rPr>
                <w:rFonts w:ascii="Times New Roman" w:hAnsi="Times New Roman"/>
                <w:i/>
              </w:rPr>
              <w:t>terdiri</w:t>
            </w:r>
            <w:r w:rsidRPr="009051CE">
              <w:rPr>
                <w:rFonts w:ascii="Times New Roman" w:hAnsi="Times New Roman"/>
                <w:i/>
              </w:rPr>
              <w:t xml:space="preserve"> </w:t>
            </w:r>
            <w:r w:rsidRPr="009051CE">
              <w:rPr>
                <w:rFonts w:ascii="Times New Roman" w:hAnsi="Times New Roman"/>
                <w:i/>
              </w:rPr>
              <w:t>dari</w:t>
            </w:r>
            <w:r w:rsidRPr="009051CE">
              <w:rPr>
                <w:rFonts w:ascii="Times New Roman" w:hAnsi="Times New Roman"/>
                <w:i/>
              </w:rPr>
              <w:t xml:space="preserve"> 8 </w:t>
            </w:r>
            <w:r w:rsidRPr="009051CE">
              <w:rPr>
                <w:rFonts w:ascii="Times New Roman" w:hAnsi="Times New Roman"/>
                <w:i/>
              </w:rPr>
              <w:t>tahap</w:t>
            </w:r>
            <w:r w:rsidRPr="009051CE">
              <w:rPr>
                <w:rFonts w:ascii="Times New Roman" w:hAnsi="Times New Roman"/>
                <w:i/>
              </w:rPr>
              <w:t xml:space="preserve">, </w:t>
            </w:r>
            <w:r w:rsidRPr="009051CE">
              <w:rPr>
                <w:rFonts w:ascii="Times New Roman" w:hAnsi="Times New Roman"/>
                <w:i/>
              </w:rPr>
              <w:t>termasuk</w:t>
            </w:r>
            <w:r w:rsidRPr="009051CE">
              <w:rPr>
                <w:rFonts w:ascii="Times New Roman" w:hAnsi="Times New Roman"/>
                <w:i/>
              </w:rPr>
              <w:t xml:space="preserve"> </w:t>
            </w:r>
            <w:r w:rsidRPr="009051CE">
              <w:rPr>
                <w:rFonts w:ascii="Times New Roman" w:hAnsi="Times New Roman"/>
                <w:i/>
              </w:rPr>
              <w:t>pengamatan</w:t>
            </w:r>
            <w:r w:rsidRPr="009051CE">
              <w:rPr>
                <w:rFonts w:ascii="Times New Roman" w:hAnsi="Times New Roman"/>
                <w:i/>
              </w:rPr>
              <w:t xml:space="preserve">, Uji pre-test </w:t>
            </w:r>
            <w:r w:rsidRPr="009051CE">
              <w:rPr>
                <w:rFonts w:ascii="Times New Roman" w:hAnsi="Times New Roman"/>
                <w:i/>
              </w:rPr>
              <w:t>dipertemuan</w:t>
            </w:r>
            <w:r w:rsidRPr="009051CE">
              <w:rPr>
                <w:rFonts w:ascii="Times New Roman" w:hAnsi="Times New Roman"/>
                <w:i/>
              </w:rPr>
              <w:t xml:space="preserve"> </w:t>
            </w:r>
            <w:r w:rsidRPr="009051CE">
              <w:rPr>
                <w:rFonts w:ascii="Times New Roman" w:hAnsi="Times New Roman"/>
                <w:i/>
              </w:rPr>
              <w:t>kedua</w:t>
            </w:r>
            <w:r w:rsidRPr="009051CE">
              <w:rPr>
                <w:rFonts w:ascii="Times New Roman" w:hAnsi="Times New Roman"/>
                <w:i/>
              </w:rPr>
              <w:t xml:space="preserve">, </w:t>
            </w:r>
            <w:r w:rsidRPr="009051CE">
              <w:rPr>
                <w:rFonts w:ascii="Times New Roman" w:hAnsi="Times New Roman"/>
                <w:i/>
              </w:rPr>
              <w:t>pengimplemetasian</w:t>
            </w:r>
            <w:r w:rsidRPr="009051CE">
              <w:rPr>
                <w:rFonts w:ascii="Times New Roman" w:hAnsi="Times New Roman"/>
                <w:i/>
              </w:rPr>
              <w:t xml:space="preserve"> strategi, dan post-test </w:t>
            </w:r>
            <w:r w:rsidRPr="009051CE">
              <w:rPr>
                <w:rFonts w:ascii="Times New Roman" w:hAnsi="Times New Roman"/>
                <w:i/>
              </w:rPr>
              <w:t>dipertemuan</w:t>
            </w:r>
            <w:r w:rsidRPr="009051CE">
              <w:rPr>
                <w:rFonts w:ascii="Times New Roman" w:hAnsi="Times New Roman"/>
                <w:i/>
              </w:rPr>
              <w:t xml:space="preserve"> </w:t>
            </w:r>
            <w:r w:rsidRPr="009051CE">
              <w:rPr>
                <w:rFonts w:ascii="Times New Roman" w:hAnsi="Times New Roman"/>
                <w:i/>
              </w:rPr>
              <w:t>terakhir</w:t>
            </w:r>
            <w:r w:rsidRPr="009051CE">
              <w:rPr>
                <w:rFonts w:ascii="Times New Roman" w:hAnsi="Times New Roman"/>
                <w:i/>
              </w:rPr>
              <w:t xml:space="preserve">. </w:t>
            </w:r>
            <w:r w:rsidRPr="009051CE">
              <w:rPr>
                <w:rFonts w:ascii="Times New Roman" w:hAnsi="Times New Roman"/>
                <w:i/>
              </w:rPr>
              <w:t>Penelitian</w:t>
            </w:r>
            <w:r w:rsidRPr="009051CE">
              <w:rPr>
                <w:rFonts w:ascii="Times New Roman" w:hAnsi="Times New Roman"/>
                <w:i/>
              </w:rPr>
              <w:t xml:space="preserve"> </w:t>
            </w:r>
            <w:r w:rsidRPr="009051CE">
              <w:rPr>
                <w:rFonts w:ascii="Times New Roman" w:hAnsi="Times New Roman"/>
                <w:i/>
              </w:rPr>
              <w:t>dilakukan</w:t>
            </w:r>
            <w:r w:rsidRPr="009051CE">
              <w:rPr>
                <w:rFonts w:ascii="Times New Roman" w:hAnsi="Times New Roman"/>
                <w:i/>
              </w:rPr>
              <w:t xml:space="preserve"> </w:t>
            </w:r>
            <w:r w:rsidRPr="009051CE">
              <w:rPr>
                <w:rFonts w:ascii="Times New Roman" w:hAnsi="Times New Roman"/>
                <w:i/>
              </w:rPr>
              <w:t>terhadap</w:t>
            </w:r>
            <w:r w:rsidRPr="009051CE">
              <w:rPr>
                <w:rFonts w:ascii="Times New Roman" w:hAnsi="Times New Roman"/>
                <w:i/>
              </w:rPr>
              <w:t xml:space="preserve"> 24 </w:t>
            </w:r>
            <w:r w:rsidRPr="009051CE">
              <w:rPr>
                <w:rFonts w:ascii="Times New Roman" w:hAnsi="Times New Roman"/>
                <w:i/>
              </w:rPr>
              <w:t>siswa</w:t>
            </w:r>
            <w:r w:rsidRPr="009051CE">
              <w:rPr>
                <w:rFonts w:ascii="Times New Roman" w:hAnsi="Times New Roman"/>
                <w:i/>
              </w:rPr>
              <w:t xml:space="preserve"> </w:t>
            </w:r>
            <w:r w:rsidRPr="009051CE">
              <w:rPr>
                <w:rFonts w:ascii="Times New Roman" w:hAnsi="Times New Roman"/>
                <w:i/>
              </w:rPr>
              <w:t>kelas</w:t>
            </w:r>
            <w:r w:rsidRPr="009051CE">
              <w:rPr>
                <w:rFonts w:ascii="Times New Roman" w:hAnsi="Times New Roman"/>
                <w:i/>
              </w:rPr>
              <w:t xml:space="preserve"> X MA Al Balagh. Metode yang </w:t>
            </w:r>
            <w:r w:rsidRPr="009051CE">
              <w:rPr>
                <w:rFonts w:ascii="Times New Roman" w:hAnsi="Times New Roman"/>
                <w:i/>
              </w:rPr>
              <w:t>digunakan</w:t>
            </w:r>
            <w:r w:rsidRPr="009051CE">
              <w:rPr>
                <w:rFonts w:ascii="Times New Roman" w:hAnsi="Times New Roman"/>
                <w:i/>
              </w:rPr>
              <w:t xml:space="preserve"> </w:t>
            </w:r>
            <w:r w:rsidRPr="009051CE">
              <w:rPr>
                <w:rFonts w:ascii="Times New Roman" w:hAnsi="Times New Roman"/>
                <w:i/>
              </w:rPr>
              <w:t>adalah</w:t>
            </w:r>
            <w:r w:rsidRPr="009051CE">
              <w:rPr>
                <w:rFonts w:ascii="Times New Roman" w:hAnsi="Times New Roman"/>
                <w:i/>
              </w:rPr>
              <w:t xml:space="preserve"> </w:t>
            </w:r>
            <w:r w:rsidRPr="009051CE">
              <w:rPr>
                <w:rFonts w:ascii="Times New Roman" w:hAnsi="Times New Roman"/>
                <w:i/>
              </w:rPr>
              <w:t>kuantitatif_dengan</w:t>
            </w:r>
            <w:r w:rsidRPr="009051CE">
              <w:rPr>
                <w:rFonts w:ascii="Times New Roman" w:hAnsi="Times New Roman"/>
                <w:i/>
              </w:rPr>
              <w:t xml:space="preserve"> </w:t>
            </w:r>
            <w:r w:rsidRPr="009051CE">
              <w:rPr>
                <w:rFonts w:ascii="Times New Roman" w:hAnsi="Times New Roman"/>
                <w:i/>
              </w:rPr>
              <w:t>pendekatan_pra-eksperimen</w:t>
            </w:r>
            <w:r w:rsidRPr="009051CE">
              <w:rPr>
                <w:rFonts w:ascii="Times New Roman" w:hAnsi="Times New Roman"/>
                <w:i/>
              </w:rPr>
              <w:t xml:space="preserve">. Data </w:t>
            </w:r>
            <w:r w:rsidRPr="009051CE">
              <w:rPr>
                <w:rFonts w:ascii="Times New Roman" w:hAnsi="Times New Roman"/>
                <w:i/>
              </w:rPr>
              <w:t>dari</w:t>
            </w:r>
            <w:r w:rsidRPr="009051CE">
              <w:rPr>
                <w:rFonts w:ascii="Times New Roman" w:hAnsi="Times New Roman"/>
                <w:i/>
              </w:rPr>
              <w:t xml:space="preserve"> pre-test dan post-test </w:t>
            </w:r>
            <w:r w:rsidRPr="009051CE">
              <w:rPr>
                <w:rFonts w:ascii="Times New Roman" w:hAnsi="Times New Roman"/>
                <w:i/>
              </w:rPr>
              <w:t>diperiksa</w:t>
            </w:r>
            <w:r w:rsidRPr="009051CE">
              <w:rPr>
                <w:rFonts w:ascii="Times New Roman" w:hAnsi="Times New Roman"/>
                <w:i/>
              </w:rPr>
              <w:t xml:space="preserve"> </w:t>
            </w:r>
            <w:r w:rsidRPr="009051CE">
              <w:rPr>
                <w:rFonts w:ascii="Times New Roman" w:hAnsi="Times New Roman"/>
                <w:i/>
              </w:rPr>
              <w:t>untuk</w:t>
            </w:r>
            <w:r w:rsidRPr="009051CE">
              <w:rPr>
                <w:rFonts w:ascii="Times New Roman" w:hAnsi="Times New Roman"/>
                <w:i/>
              </w:rPr>
              <w:t xml:space="preserve"> </w:t>
            </w:r>
            <w:r w:rsidRPr="009051CE">
              <w:rPr>
                <w:rFonts w:ascii="Times New Roman" w:hAnsi="Times New Roman"/>
                <w:i/>
              </w:rPr>
              <w:t>normalitas</w:t>
            </w:r>
            <w:r w:rsidRPr="009051CE">
              <w:rPr>
                <w:rFonts w:ascii="Times New Roman" w:hAnsi="Times New Roman"/>
                <w:i/>
              </w:rPr>
              <w:t xml:space="preserve"> </w:t>
            </w:r>
            <w:r w:rsidRPr="009051CE">
              <w:rPr>
                <w:rFonts w:ascii="Times New Roman" w:hAnsi="Times New Roman"/>
                <w:i/>
              </w:rPr>
              <w:t>menggunakan</w:t>
            </w:r>
            <w:r w:rsidRPr="009051CE">
              <w:rPr>
                <w:rFonts w:ascii="Times New Roman" w:hAnsi="Times New Roman"/>
                <w:i/>
              </w:rPr>
              <w:t xml:space="preserve"> uji Kolmogorov-Smirnov, yang </w:t>
            </w:r>
            <w:r w:rsidRPr="009051CE">
              <w:rPr>
                <w:rFonts w:ascii="Times New Roman" w:hAnsi="Times New Roman"/>
                <w:i/>
              </w:rPr>
              <w:t>menunjukkan</w:t>
            </w:r>
            <w:r w:rsidRPr="009051CE">
              <w:rPr>
                <w:rFonts w:ascii="Times New Roman" w:hAnsi="Times New Roman"/>
                <w:i/>
              </w:rPr>
              <w:t xml:space="preserve"> </w:t>
            </w:r>
            <w:r w:rsidRPr="009051CE">
              <w:rPr>
                <w:rFonts w:ascii="Times New Roman" w:hAnsi="Times New Roman"/>
                <w:i/>
              </w:rPr>
              <w:t>bahwa</w:t>
            </w:r>
            <w:r w:rsidRPr="009051CE">
              <w:rPr>
                <w:rFonts w:ascii="Times New Roman" w:hAnsi="Times New Roman"/>
                <w:i/>
              </w:rPr>
              <w:t xml:space="preserve"> data </w:t>
            </w:r>
            <w:r w:rsidRPr="009051CE">
              <w:rPr>
                <w:rFonts w:ascii="Times New Roman" w:hAnsi="Times New Roman"/>
                <w:i/>
              </w:rPr>
              <w:t>berdistribusi</w:t>
            </w:r>
            <w:r w:rsidRPr="009051CE">
              <w:rPr>
                <w:rFonts w:ascii="Times New Roman" w:hAnsi="Times New Roman"/>
                <w:i/>
              </w:rPr>
              <w:t xml:space="preserve"> normal. </w:t>
            </w:r>
            <w:r w:rsidRPr="009051CE">
              <w:rPr>
                <w:rFonts w:ascii="Times New Roman" w:hAnsi="Times New Roman"/>
                <w:i/>
              </w:rPr>
              <w:t>Analisis</w:t>
            </w:r>
            <w:r w:rsidRPr="009051CE">
              <w:rPr>
                <w:rFonts w:ascii="Times New Roman" w:hAnsi="Times New Roman"/>
                <w:i/>
              </w:rPr>
              <w:t xml:space="preserve"> </w:t>
            </w:r>
            <w:r w:rsidRPr="009051CE">
              <w:rPr>
                <w:rFonts w:ascii="Times New Roman" w:hAnsi="Times New Roman"/>
                <w:i/>
              </w:rPr>
              <w:t>selanjutnya</w:t>
            </w:r>
            <w:r w:rsidRPr="009051CE">
              <w:rPr>
                <w:rFonts w:ascii="Times New Roman" w:hAnsi="Times New Roman"/>
                <w:i/>
              </w:rPr>
              <w:t xml:space="preserve"> </w:t>
            </w:r>
            <w:r w:rsidRPr="009051CE">
              <w:rPr>
                <w:rFonts w:ascii="Times New Roman" w:hAnsi="Times New Roman"/>
                <w:i/>
              </w:rPr>
              <w:t>menggunakan</w:t>
            </w:r>
            <w:r w:rsidRPr="009051CE">
              <w:rPr>
                <w:rFonts w:ascii="Times New Roman" w:hAnsi="Times New Roman"/>
                <w:i/>
              </w:rPr>
              <w:t xml:space="preserve"> uji T-test </w:t>
            </w:r>
            <w:r w:rsidRPr="009051CE">
              <w:rPr>
                <w:rFonts w:ascii="Times New Roman" w:hAnsi="Times New Roman"/>
                <w:i/>
              </w:rPr>
              <w:t>untuk</w:t>
            </w:r>
            <w:r w:rsidRPr="009051CE">
              <w:rPr>
                <w:rFonts w:ascii="Times New Roman" w:hAnsi="Times New Roman"/>
                <w:i/>
              </w:rPr>
              <w:t xml:space="preserve"> </w:t>
            </w:r>
            <w:r w:rsidRPr="009051CE">
              <w:rPr>
                <w:rFonts w:ascii="Times New Roman" w:hAnsi="Times New Roman"/>
                <w:i/>
              </w:rPr>
              <w:t>menentukan</w:t>
            </w:r>
            <w:r w:rsidRPr="009051CE">
              <w:rPr>
                <w:rFonts w:ascii="Times New Roman" w:hAnsi="Times New Roman"/>
                <w:i/>
              </w:rPr>
              <w:t xml:space="preserve"> </w:t>
            </w:r>
            <w:r w:rsidRPr="009051CE">
              <w:rPr>
                <w:rFonts w:ascii="Times New Roman" w:hAnsi="Times New Roman"/>
                <w:i/>
              </w:rPr>
              <w:t>signifikansi</w:t>
            </w:r>
            <w:r w:rsidRPr="009051CE">
              <w:rPr>
                <w:rFonts w:ascii="Times New Roman" w:hAnsi="Times New Roman"/>
                <w:i/>
              </w:rPr>
              <w:t xml:space="preserve"> (Sig.). Hasil uji T </w:t>
            </w:r>
            <w:r w:rsidRPr="009051CE">
              <w:rPr>
                <w:rFonts w:ascii="Times New Roman" w:hAnsi="Times New Roman"/>
                <w:i/>
              </w:rPr>
              <w:t>menunjukkan</w:t>
            </w:r>
            <w:r w:rsidRPr="009051CE">
              <w:rPr>
                <w:rFonts w:ascii="Times New Roman" w:hAnsi="Times New Roman"/>
                <w:i/>
              </w:rPr>
              <w:t xml:space="preserve"> </w:t>
            </w:r>
            <w:r w:rsidRPr="009051CE">
              <w:rPr>
                <w:rFonts w:ascii="Times New Roman" w:hAnsi="Times New Roman"/>
                <w:i/>
              </w:rPr>
              <w:t>bahwa</w:t>
            </w:r>
            <w:r w:rsidRPr="009051CE">
              <w:rPr>
                <w:rFonts w:ascii="Times New Roman" w:hAnsi="Times New Roman"/>
                <w:i/>
              </w:rPr>
              <w:t xml:space="preserve"> </w:t>
            </w:r>
            <w:r w:rsidRPr="009051CE">
              <w:rPr>
                <w:rFonts w:ascii="Times New Roman" w:hAnsi="Times New Roman"/>
                <w:i/>
              </w:rPr>
              <w:t>nilai</w:t>
            </w:r>
            <w:r w:rsidRPr="009051CE">
              <w:rPr>
                <w:rFonts w:ascii="Times New Roman" w:hAnsi="Times New Roman"/>
                <w:i/>
              </w:rPr>
              <w:t xml:space="preserve"> </w:t>
            </w:r>
            <w:r w:rsidRPr="009051CE">
              <w:rPr>
                <w:rFonts w:ascii="Times New Roman" w:hAnsi="Times New Roman"/>
                <w:i/>
              </w:rPr>
              <w:t>signifikansi</w:t>
            </w:r>
            <w:r w:rsidRPr="009051CE">
              <w:rPr>
                <w:rFonts w:ascii="Times New Roman" w:hAnsi="Times New Roman"/>
                <w:i/>
              </w:rPr>
              <w:t xml:space="preserve"> (p = 0,000) &lt; α (0,05), yang </w:t>
            </w:r>
            <w:r w:rsidRPr="009051CE">
              <w:rPr>
                <w:rFonts w:ascii="Times New Roman" w:hAnsi="Times New Roman"/>
                <w:i/>
              </w:rPr>
              <w:t>menunjukkan</w:t>
            </w:r>
            <w:r w:rsidRPr="009051CE">
              <w:rPr>
                <w:rFonts w:ascii="Times New Roman" w:hAnsi="Times New Roman"/>
                <w:i/>
              </w:rPr>
              <w:t xml:space="preserve"> </w:t>
            </w:r>
            <w:r w:rsidRPr="009051CE">
              <w:rPr>
                <w:rFonts w:ascii="Times New Roman" w:hAnsi="Times New Roman"/>
                <w:i/>
              </w:rPr>
              <w:t>bahwa</w:t>
            </w:r>
            <w:r w:rsidRPr="009051CE">
              <w:rPr>
                <w:rFonts w:ascii="Times New Roman" w:hAnsi="Times New Roman"/>
                <w:i/>
              </w:rPr>
              <w:t xml:space="preserve"> </w:t>
            </w:r>
            <w:r w:rsidRPr="009051CE">
              <w:rPr>
                <w:rFonts w:ascii="Times New Roman" w:hAnsi="Times New Roman"/>
                <w:i/>
              </w:rPr>
              <w:t>tidak</w:t>
            </w:r>
            <w:r w:rsidRPr="009051CE">
              <w:rPr>
                <w:rFonts w:ascii="Times New Roman" w:hAnsi="Times New Roman"/>
                <w:i/>
              </w:rPr>
              <w:t xml:space="preserve"> </w:t>
            </w:r>
            <w:r w:rsidRPr="009051CE">
              <w:rPr>
                <w:rFonts w:ascii="Times New Roman" w:hAnsi="Times New Roman"/>
                <w:i/>
              </w:rPr>
              <w:t>ada</w:t>
            </w:r>
            <w:r w:rsidRPr="009051CE">
              <w:rPr>
                <w:rFonts w:ascii="Times New Roman" w:hAnsi="Times New Roman"/>
                <w:i/>
              </w:rPr>
              <w:t xml:space="preserve"> </w:t>
            </w:r>
            <w:r w:rsidRPr="009051CE">
              <w:rPr>
                <w:rFonts w:ascii="Times New Roman" w:hAnsi="Times New Roman"/>
                <w:i/>
              </w:rPr>
              <w:t>cukup</w:t>
            </w:r>
            <w:r w:rsidRPr="009051CE">
              <w:rPr>
                <w:rFonts w:ascii="Times New Roman" w:hAnsi="Times New Roman"/>
                <w:i/>
              </w:rPr>
              <w:t xml:space="preserve"> </w:t>
            </w:r>
            <w:r w:rsidRPr="009051CE">
              <w:rPr>
                <w:rFonts w:ascii="Times New Roman" w:hAnsi="Times New Roman"/>
                <w:i/>
              </w:rPr>
              <w:t>bukti</w:t>
            </w:r>
            <w:r w:rsidRPr="009051CE">
              <w:rPr>
                <w:rFonts w:ascii="Times New Roman" w:hAnsi="Times New Roman"/>
                <w:i/>
              </w:rPr>
              <w:t xml:space="preserve"> </w:t>
            </w:r>
            <w:r w:rsidRPr="009051CE">
              <w:rPr>
                <w:rFonts w:ascii="Times New Roman" w:hAnsi="Times New Roman"/>
                <w:i/>
              </w:rPr>
              <w:t>untuk</w:t>
            </w:r>
            <w:r w:rsidRPr="009051CE">
              <w:rPr>
                <w:rFonts w:ascii="Times New Roman" w:hAnsi="Times New Roman"/>
                <w:i/>
              </w:rPr>
              <w:t xml:space="preserve"> </w:t>
            </w:r>
            <w:r w:rsidRPr="009051CE">
              <w:rPr>
                <w:rFonts w:ascii="Times New Roman" w:hAnsi="Times New Roman"/>
                <w:i/>
              </w:rPr>
              <w:t>menolak</w:t>
            </w:r>
            <w:r w:rsidRPr="009051CE">
              <w:rPr>
                <w:rFonts w:ascii="Times New Roman" w:hAnsi="Times New Roman"/>
                <w:i/>
              </w:rPr>
              <w:t xml:space="preserve"> </w:t>
            </w:r>
            <w:r w:rsidRPr="009051CE">
              <w:rPr>
                <w:rFonts w:ascii="Times New Roman" w:hAnsi="Times New Roman"/>
                <w:i/>
              </w:rPr>
              <w:t>hipotesis</w:t>
            </w:r>
            <w:r w:rsidRPr="009051CE">
              <w:rPr>
                <w:rFonts w:ascii="Times New Roman" w:hAnsi="Times New Roman"/>
                <w:i/>
              </w:rPr>
              <w:t xml:space="preserve"> </w:t>
            </w:r>
            <w:r w:rsidRPr="009051CE">
              <w:rPr>
                <w:rFonts w:ascii="Times New Roman" w:hAnsi="Times New Roman"/>
                <w:i/>
              </w:rPr>
              <w:t>nol</w:t>
            </w:r>
            <w:r w:rsidRPr="009051CE">
              <w:rPr>
                <w:rFonts w:ascii="Times New Roman" w:hAnsi="Times New Roman"/>
                <w:i/>
              </w:rPr>
              <w:t xml:space="preserve"> (H0), </w:t>
            </w:r>
            <w:r w:rsidRPr="009051CE">
              <w:rPr>
                <w:rFonts w:ascii="Times New Roman" w:hAnsi="Times New Roman"/>
                <w:i/>
              </w:rPr>
              <w:t>sehingga</w:t>
            </w:r>
            <w:r w:rsidRPr="009051CE">
              <w:rPr>
                <w:rFonts w:ascii="Times New Roman" w:hAnsi="Times New Roman"/>
                <w:i/>
              </w:rPr>
              <w:t xml:space="preserve"> </w:t>
            </w:r>
            <w:r w:rsidRPr="009051CE">
              <w:rPr>
                <w:rFonts w:ascii="Times New Roman" w:hAnsi="Times New Roman"/>
                <w:i/>
              </w:rPr>
              <w:t>hipotesis</w:t>
            </w:r>
            <w:r w:rsidRPr="009051CE">
              <w:rPr>
                <w:rFonts w:ascii="Times New Roman" w:hAnsi="Times New Roman"/>
                <w:i/>
              </w:rPr>
              <w:t xml:space="preserve"> </w:t>
            </w:r>
            <w:r w:rsidRPr="009051CE">
              <w:rPr>
                <w:rFonts w:ascii="Times New Roman" w:hAnsi="Times New Roman"/>
                <w:i/>
              </w:rPr>
              <w:t>alternatif</w:t>
            </w:r>
            <w:r w:rsidRPr="009051CE">
              <w:rPr>
                <w:rFonts w:ascii="Times New Roman" w:hAnsi="Times New Roman"/>
                <w:i/>
              </w:rPr>
              <w:t xml:space="preserve"> (Ha) </w:t>
            </w:r>
            <w:r w:rsidRPr="009051CE">
              <w:rPr>
                <w:rFonts w:ascii="Times New Roman" w:hAnsi="Times New Roman"/>
                <w:i/>
              </w:rPr>
              <w:t>diterima.Hal</w:t>
            </w:r>
            <w:r w:rsidRPr="009051CE">
              <w:rPr>
                <w:rFonts w:ascii="Times New Roman" w:hAnsi="Times New Roman"/>
                <w:i/>
              </w:rPr>
              <w:t xml:space="preserve"> </w:t>
            </w:r>
            <w:r w:rsidRPr="009051CE">
              <w:rPr>
                <w:rFonts w:ascii="Times New Roman" w:hAnsi="Times New Roman"/>
                <w:i/>
              </w:rPr>
              <w:t>ini</w:t>
            </w:r>
            <w:r w:rsidRPr="009051CE">
              <w:rPr>
                <w:rFonts w:ascii="Times New Roman" w:hAnsi="Times New Roman"/>
                <w:i/>
              </w:rPr>
              <w:t xml:space="preserve"> </w:t>
            </w:r>
            <w:r w:rsidRPr="009051CE">
              <w:rPr>
                <w:rFonts w:ascii="Times New Roman" w:hAnsi="Times New Roman"/>
                <w:i/>
              </w:rPr>
              <w:t>menunjukkan</w:t>
            </w:r>
            <w:r w:rsidRPr="009051CE">
              <w:rPr>
                <w:rFonts w:ascii="Times New Roman" w:hAnsi="Times New Roman"/>
                <w:i/>
              </w:rPr>
              <w:t xml:space="preserve"> </w:t>
            </w:r>
            <w:r w:rsidRPr="009051CE">
              <w:rPr>
                <w:rFonts w:ascii="Times New Roman" w:hAnsi="Times New Roman"/>
                <w:i/>
              </w:rPr>
              <w:t>bahwa</w:t>
            </w:r>
            <w:r w:rsidRPr="009051CE">
              <w:rPr>
                <w:rFonts w:ascii="Times New Roman" w:hAnsi="Times New Roman"/>
                <w:i/>
              </w:rPr>
              <w:t xml:space="preserve"> </w:t>
            </w:r>
            <w:r w:rsidRPr="009051CE">
              <w:rPr>
                <w:rFonts w:ascii="Times New Roman" w:hAnsi="Times New Roman"/>
                <w:i/>
              </w:rPr>
              <w:t>penguasaan</w:t>
            </w:r>
            <w:r w:rsidRPr="009051CE">
              <w:rPr>
                <w:rFonts w:ascii="Times New Roman" w:hAnsi="Times New Roman"/>
                <w:i/>
              </w:rPr>
              <w:t xml:space="preserve"> </w:t>
            </w:r>
            <w:r w:rsidRPr="009051CE">
              <w:rPr>
                <w:rFonts w:ascii="Times New Roman" w:hAnsi="Times New Roman"/>
                <w:i/>
              </w:rPr>
              <w:t>kosakata</w:t>
            </w:r>
            <w:r w:rsidRPr="009051CE">
              <w:rPr>
                <w:rFonts w:ascii="Times New Roman" w:hAnsi="Times New Roman"/>
                <w:i/>
              </w:rPr>
              <w:t xml:space="preserve"> </w:t>
            </w:r>
            <w:r w:rsidRPr="009051CE">
              <w:rPr>
                <w:rFonts w:ascii="Times New Roman" w:hAnsi="Times New Roman"/>
                <w:i/>
              </w:rPr>
              <w:t>siswa</w:t>
            </w:r>
            <w:r w:rsidRPr="009051CE">
              <w:rPr>
                <w:rFonts w:ascii="Times New Roman" w:hAnsi="Times New Roman"/>
                <w:i/>
              </w:rPr>
              <w:t xml:space="preserve"> </w:t>
            </w:r>
            <w:r w:rsidRPr="009051CE">
              <w:rPr>
                <w:rFonts w:ascii="Times New Roman" w:hAnsi="Times New Roman"/>
                <w:i/>
              </w:rPr>
              <w:t>secara</w:t>
            </w:r>
            <w:r w:rsidRPr="009051CE">
              <w:rPr>
                <w:rFonts w:ascii="Times New Roman" w:hAnsi="Times New Roman"/>
                <w:i/>
              </w:rPr>
              <w:t xml:space="preserve"> </w:t>
            </w:r>
            <w:r w:rsidRPr="009051CE">
              <w:rPr>
                <w:rFonts w:ascii="Times New Roman" w:hAnsi="Times New Roman"/>
                <w:i/>
              </w:rPr>
              <w:t>signifikan</w:t>
            </w:r>
            <w:r w:rsidRPr="009051CE">
              <w:rPr>
                <w:rFonts w:ascii="Times New Roman" w:hAnsi="Times New Roman"/>
                <w:i/>
              </w:rPr>
              <w:t xml:space="preserve"> </w:t>
            </w:r>
            <w:r w:rsidRPr="009051CE">
              <w:rPr>
                <w:rFonts w:ascii="Times New Roman" w:hAnsi="Times New Roman"/>
                <w:i/>
              </w:rPr>
              <w:t>meningkat</w:t>
            </w:r>
            <w:r w:rsidRPr="009051CE">
              <w:rPr>
                <w:rFonts w:ascii="Times New Roman" w:hAnsi="Times New Roman"/>
                <w:i/>
              </w:rPr>
              <w:t xml:space="preserve"> </w:t>
            </w:r>
            <w:r w:rsidRPr="009051CE">
              <w:rPr>
                <w:rFonts w:ascii="Times New Roman" w:hAnsi="Times New Roman"/>
                <w:i/>
              </w:rPr>
              <w:t>setelah</w:t>
            </w:r>
            <w:r w:rsidRPr="009051CE">
              <w:rPr>
                <w:rFonts w:ascii="Times New Roman" w:hAnsi="Times New Roman"/>
                <w:i/>
              </w:rPr>
              <w:t xml:space="preserve"> </w:t>
            </w:r>
            <w:r w:rsidRPr="009051CE">
              <w:rPr>
                <w:rFonts w:ascii="Times New Roman" w:hAnsi="Times New Roman"/>
                <w:i/>
              </w:rPr>
              <w:t>perlakuan.Penelitian</w:t>
            </w:r>
            <w:r w:rsidRPr="009051CE">
              <w:rPr>
                <w:rFonts w:ascii="Times New Roman" w:hAnsi="Times New Roman"/>
                <w:i/>
              </w:rPr>
              <w:t xml:space="preserve"> </w:t>
            </w:r>
            <w:r w:rsidRPr="009051CE">
              <w:rPr>
                <w:rFonts w:ascii="Times New Roman" w:hAnsi="Times New Roman"/>
                <w:i/>
              </w:rPr>
              <w:t>ini</w:t>
            </w:r>
            <w:r w:rsidRPr="009051CE">
              <w:rPr>
                <w:rFonts w:ascii="Times New Roman" w:hAnsi="Times New Roman"/>
                <w:i/>
              </w:rPr>
              <w:t xml:space="preserve"> </w:t>
            </w:r>
            <w:r w:rsidRPr="009051CE">
              <w:rPr>
                <w:rFonts w:ascii="Times New Roman" w:hAnsi="Times New Roman"/>
                <w:i/>
              </w:rPr>
              <w:t>menegaskan</w:t>
            </w:r>
            <w:r w:rsidRPr="009051CE">
              <w:rPr>
                <w:rFonts w:ascii="Times New Roman" w:hAnsi="Times New Roman"/>
                <w:i/>
              </w:rPr>
              <w:t xml:space="preserve"> </w:t>
            </w:r>
            <w:r w:rsidRPr="009051CE">
              <w:rPr>
                <w:rFonts w:ascii="Times New Roman" w:hAnsi="Times New Roman"/>
                <w:i/>
              </w:rPr>
              <w:t>bahwa</w:t>
            </w:r>
            <w:r w:rsidRPr="009051CE">
              <w:rPr>
                <w:rFonts w:ascii="Times New Roman" w:hAnsi="Times New Roman"/>
                <w:i/>
              </w:rPr>
              <w:t xml:space="preserve"> </w:t>
            </w:r>
            <w:r w:rsidRPr="009051CE">
              <w:rPr>
                <w:rFonts w:ascii="Times New Roman" w:hAnsi="Times New Roman"/>
                <w:i/>
              </w:rPr>
              <w:t>pembelajaran</w:t>
            </w:r>
            <w:r w:rsidRPr="009051CE">
              <w:rPr>
                <w:rFonts w:ascii="Times New Roman" w:hAnsi="Times New Roman"/>
                <w:i/>
              </w:rPr>
              <w:t xml:space="preserve"> </w:t>
            </w:r>
            <w:r w:rsidRPr="009051CE">
              <w:rPr>
                <w:rFonts w:ascii="Times New Roman" w:hAnsi="Times New Roman"/>
                <w:i/>
              </w:rPr>
              <w:t>menggunakan</w:t>
            </w:r>
            <w:r w:rsidRPr="009051CE">
              <w:rPr>
                <w:rFonts w:ascii="Times New Roman" w:hAnsi="Times New Roman"/>
                <w:i/>
              </w:rPr>
              <w:t xml:space="preserve"> Community Circle Strategy </w:t>
            </w:r>
            <w:r w:rsidRPr="009051CE">
              <w:rPr>
                <w:rFonts w:ascii="Times New Roman" w:hAnsi="Times New Roman"/>
                <w:i/>
              </w:rPr>
              <w:t>efektif</w:t>
            </w:r>
            <w:r w:rsidRPr="009051CE">
              <w:rPr>
                <w:rFonts w:ascii="Times New Roman" w:hAnsi="Times New Roman"/>
                <w:i/>
              </w:rPr>
              <w:t xml:space="preserve"> </w:t>
            </w:r>
            <w:r w:rsidRPr="009051CE">
              <w:rPr>
                <w:rFonts w:ascii="Times New Roman" w:hAnsi="Times New Roman"/>
                <w:i/>
              </w:rPr>
              <w:t>dalam</w:t>
            </w:r>
            <w:r w:rsidRPr="009051CE">
              <w:rPr>
                <w:rFonts w:ascii="Times New Roman" w:hAnsi="Times New Roman"/>
                <w:i/>
              </w:rPr>
              <w:t xml:space="preserve"> </w:t>
            </w:r>
            <w:r w:rsidRPr="009051CE">
              <w:rPr>
                <w:rFonts w:ascii="Times New Roman" w:hAnsi="Times New Roman"/>
                <w:i/>
              </w:rPr>
              <w:t>meningkatkan</w:t>
            </w:r>
            <w:r w:rsidRPr="009051CE">
              <w:rPr>
                <w:rFonts w:ascii="Times New Roman" w:hAnsi="Times New Roman"/>
                <w:i/>
              </w:rPr>
              <w:t xml:space="preserve"> </w:t>
            </w:r>
            <w:r w:rsidRPr="009051CE">
              <w:rPr>
                <w:rFonts w:ascii="Times New Roman" w:hAnsi="Times New Roman"/>
                <w:i/>
              </w:rPr>
              <w:t>kemampuan</w:t>
            </w:r>
            <w:r w:rsidRPr="009051CE">
              <w:rPr>
                <w:rFonts w:ascii="Times New Roman" w:hAnsi="Times New Roman"/>
                <w:i/>
              </w:rPr>
              <w:t xml:space="preserve"> </w:t>
            </w:r>
            <w:r w:rsidRPr="009051CE">
              <w:rPr>
                <w:rFonts w:ascii="Times New Roman" w:hAnsi="Times New Roman"/>
                <w:i/>
              </w:rPr>
              <w:t>berbicara</w:t>
            </w:r>
            <w:r w:rsidRPr="009051CE">
              <w:rPr>
                <w:rFonts w:ascii="Times New Roman" w:hAnsi="Times New Roman"/>
                <w:i/>
              </w:rPr>
              <w:t xml:space="preserve"> </w:t>
            </w:r>
            <w:r w:rsidRPr="009051CE">
              <w:rPr>
                <w:rFonts w:ascii="Times New Roman" w:hAnsi="Times New Roman"/>
                <w:i/>
              </w:rPr>
              <w:t>siswa</w:t>
            </w:r>
            <w:r w:rsidRPr="009051CE">
              <w:rPr>
                <w:rFonts w:ascii="Times New Roman" w:hAnsi="Times New Roman"/>
                <w:i/>
              </w:rPr>
              <w:t>.</w:t>
            </w:r>
          </w:p>
          <w:p w:rsidR="003F0DC2" w:rsidRPr="00CD6AA1" w:rsidP="00821A2C" w14:paraId="69A7F1B3" w14:textId="77777777">
            <w:pPr>
              <w:pStyle w:val="NoSpacing"/>
              <w:jc w:val="both"/>
              <w:rPr>
                <w:rFonts w:ascii="Times New Roman" w:hAnsi="Times New Roman"/>
                <w:i/>
              </w:rPr>
            </w:pPr>
          </w:p>
          <w:p w:rsidR="00513FC4" w:rsidP="00821A2C" w14:paraId="6AF06087" w14:textId="77777777">
            <w:pPr>
              <w:pStyle w:val="NoSpacing"/>
              <w:jc w:val="both"/>
              <w:rPr>
                <w:rFonts w:ascii="Times New Roman" w:hAnsi="Times New Roman"/>
                <w:lang w:val="id-ID"/>
              </w:rPr>
            </w:pPr>
            <w:r w:rsidRPr="00821A2C">
              <w:rPr>
                <w:rFonts w:ascii="Times New Roman" w:hAnsi="Times New Roman"/>
                <w:b/>
              </w:rPr>
              <w:t>Abstract</w:t>
            </w:r>
            <w:r w:rsidRPr="00821A2C">
              <w:rPr>
                <w:rFonts w:ascii="Times New Roman" w:hAnsi="Times New Roman"/>
              </w:rPr>
              <w:t xml:space="preserve">: </w:t>
            </w:r>
          </w:p>
          <w:p w:rsidR="00CD6AA1" w:rsidRPr="00CD6AA1" w:rsidP="009051CE" w14:paraId="22B40897" w14:textId="16F0F920">
            <w:pPr>
              <w:pStyle w:val="NoSpacing"/>
              <w:jc w:val="both"/>
              <w:rPr>
                <w:rFonts w:ascii="Times New Roman" w:hAnsi="Times New Roman"/>
                <w:i/>
                <w:color w:val="202124"/>
                <w:lang w:val="en"/>
              </w:rPr>
            </w:pPr>
            <w:r w:rsidRPr="009051CE">
              <w:rPr>
                <w:rFonts w:ascii="Times New Roman" w:hAnsi="Times New Roman"/>
                <w:i/>
                <w:color w:val="202124"/>
              </w:rPr>
              <w:t xml:space="preserve">This </w:t>
            </w:r>
            <w:r w:rsidRPr="009051CE">
              <w:rPr>
                <w:rFonts w:ascii="Times New Roman" w:hAnsi="Times New Roman"/>
                <w:i/>
                <w:color w:val="202124"/>
                <w:lang w:val="id-ID"/>
              </w:rPr>
              <w:t>research</w:t>
            </w:r>
            <w:r w:rsidRPr="009051CE">
              <w:rPr>
                <w:rFonts w:ascii="Times New Roman" w:hAnsi="Times New Roman"/>
                <w:i/>
                <w:color w:val="202124"/>
                <w:lang w:val="id-ID"/>
              </w:rPr>
              <w:t xml:space="preserve"> </w:t>
            </w:r>
            <w:r w:rsidRPr="009051CE">
              <w:rPr>
                <w:rFonts w:ascii="Times New Roman" w:hAnsi="Times New Roman"/>
                <w:i/>
                <w:color w:val="202124"/>
                <w:lang w:val="id-ID"/>
              </w:rPr>
              <w:t>was</w:t>
            </w:r>
            <w:r w:rsidRPr="009051CE">
              <w:rPr>
                <w:rFonts w:ascii="Times New Roman" w:hAnsi="Times New Roman"/>
                <w:i/>
                <w:color w:val="202124"/>
              </w:rPr>
              <w:t xml:space="preserve"> </w:t>
            </w:r>
            <w:r w:rsidRPr="009051CE">
              <w:rPr>
                <w:rFonts w:ascii="Times New Roman" w:hAnsi="Times New Roman"/>
                <w:i/>
                <w:color w:val="202124"/>
                <w:lang w:val="id-ID"/>
              </w:rPr>
              <w:t>supposed</w:t>
            </w:r>
            <w:r w:rsidRPr="009051CE">
              <w:rPr>
                <w:rFonts w:ascii="Times New Roman" w:hAnsi="Times New Roman"/>
                <w:i/>
                <w:color w:val="202124"/>
              </w:rPr>
              <w:t xml:space="preserve"> to evaluate the effectiveness of the Community Circle Strategy in enhancing students' English-speaking </w:t>
            </w:r>
            <w:r w:rsidRPr="009051CE">
              <w:rPr>
                <w:rFonts w:ascii="Times New Roman" w:hAnsi="Times New Roman"/>
                <w:i/>
                <w:color w:val="202124"/>
                <w:lang w:val="id-ID"/>
              </w:rPr>
              <w:t>skills</w:t>
            </w:r>
            <w:r w:rsidRPr="009051CE">
              <w:rPr>
                <w:rFonts w:ascii="Times New Roman" w:hAnsi="Times New Roman"/>
                <w:i/>
                <w:color w:val="202124"/>
              </w:rPr>
              <w:t xml:space="preserve"> at MA Al Balagh. This research consists of 8 stages, including observation, pre-test examination at the second meeting, implementation of strategies, and post-test examination at the final meeting. The study was conducted on 24 students of class X at MA Al Balagh. The method employed was quantitative with a pre-experimental approach. Data from pre-tests and post-tests were examined for normality using the Kolmogorov-Smirnov test, indicating that the data were normally distributed. Further analysis utilized the T-test to determine significance (Sig.). The results of the T-test indicated that the significance value (p = 0.000) &lt; α (0.05), suggesting insufficient evidence to reject the null hypothesis (H0), thus accepting the alternative hypothesis (Ha). This indicate</w:t>
            </w:r>
            <w:r w:rsidRPr="009051CE">
              <w:rPr>
                <w:rFonts w:ascii="Times New Roman" w:hAnsi="Times New Roman"/>
                <w:i/>
                <w:color w:val="202124"/>
                <w:lang w:val="id-ID"/>
              </w:rPr>
              <w:t>d</w:t>
            </w:r>
            <w:r w:rsidRPr="009051CE">
              <w:rPr>
                <w:rFonts w:ascii="Times New Roman" w:hAnsi="Times New Roman"/>
                <w:i/>
                <w:color w:val="202124"/>
              </w:rPr>
              <w:t xml:space="preserve"> a significant improvement in students' vocabulary mastery following the </w:t>
            </w:r>
            <w:r w:rsidRPr="009051CE">
              <w:rPr>
                <w:rFonts w:ascii="Times New Roman" w:hAnsi="Times New Roman"/>
                <w:i/>
                <w:color w:val="202124"/>
              </w:rPr>
              <w:t xml:space="preserve">treatment. These findings affirm that employing the Community Circle Strategy </w:t>
            </w:r>
            <w:r w:rsidRPr="009051CE">
              <w:rPr>
                <w:rFonts w:ascii="Times New Roman" w:hAnsi="Times New Roman"/>
                <w:i/>
                <w:color w:val="202124"/>
                <w:lang w:val="id-ID"/>
              </w:rPr>
              <w:t>wa</w:t>
            </w:r>
            <w:r w:rsidRPr="009051CE">
              <w:rPr>
                <w:rFonts w:ascii="Times New Roman" w:hAnsi="Times New Roman"/>
                <w:i/>
                <w:color w:val="202124"/>
              </w:rPr>
              <w:t xml:space="preserve">s effective in enhancing students' speaking </w:t>
            </w:r>
            <w:r w:rsidRPr="009051CE">
              <w:rPr>
                <w:rFonts w:ascii="Times New Roman" w:hAnsi="Times New Roman"/>
                <w:i/>
                <w:color w:val="202124"/>
                <w:lang w:val="id-ID"/>
              </w:rPr>
              <w:t>skills</w:t>
            </w:r>
            <w:r>
              <w:rPr>
                <w:rFonts w:ascii="Times New Roman" w:hAnsi="Times New Roman"/>
                <w:i/>
                <w:color w:val="202124"/>
                <w:lang w:val="id-ID"/>
              </w:rPr>
              <w:t>.</w:t>
            </w:r>
          </w:p>
        </w:tc>
      </w:tr>
      <w:tr w14:paraId="217E213C" w14:textId="77777777" w:rsidTr="004B2DEC">
        <w:tblPrEx>
          <w:tblW w:w="0" w:type="auto"/>
          <w:tblInd w:w="108" w:type="dxa"/>
          <w:tblLook w:val="04A0"/>
        </w:tblPrEx>
        <w:trPr>
          <w:trHeight w:val="1270"/>
        </w:trPr>
        <w:tc>
          <w:tcPr>
            <w:tcW w:w="2326" w:type="dxa"/>
            <w:tcBorders>
              <w:top w:val="single" w:sz="4" w:space="0" w:color="auto"/>
            </w:tcBorders>
            <w:shd w:val="clear" w:color="auto" w:fill="auto"/>
          </w:tcPr>
          <w:p w:rsidR="003C3C52" w:rsidRPr="000121B0" w:rsidP="00CD0A43" w14:paraId="59E5354E" w14:textId="77777777">
            <w:pPr>
              <w:pStyle w:val="NoSpacing"/>
              <w:rPr>
                <w:rFonts w:ascii="Times New Roman" w:hAnsi="Times New Roman"/>
                <w:b/>
              </w:rPr>
            </w:pPr>
            <w:r w:rsidRPr="000121B0">
              <w:rPr>
                <w:rFonts w:ascii="Times New Roman" w:hAnsi="Times New Roman"/>
                <w:b/>
              </w:rPr>
              <w:t xml:space="preserve">Kata Kunci: </w:t>
            </w:r>
          </w:p>
          <w:p w:rsidR="00E767DB" w:rsidRPr="00D75D19" w:rsidP="00D75D19" w14:paraId="6FE1CB65" w14:textId="17C6051E">
            <w:pPr>
              <w:pStyle w:val="NoSpacing"/>
              <w:rPr>
                <w:rFonts w:ascii="Times New Roman" w:hAnsi="Times New Roman"/>
                <w:lang w:val="id-ID"/>
              </w:rPr>
            </w:pPr>
            <w:r>
              <w:rPr>
                <w:rFonts w:ascii="Times New Roman" w:hAnsi="Times New Roman"/>
              </w:rPr>
              <w:t>Effectiveness</w:t>
            </w:r>
            <w:r w:rsidRPr="0087122F" w:rsidR="00666426">
              <w:rPr>
                <w:rFonts w:ascii="Times New Roman" w:hAnsi="Times New Roman"/>
              </w:rPr>
              <w:t xml:space="preserve">, </w:t>
            </w:r>
            <w:r>
              <w:rPr>
                <w:rFonts w:ascii="Times New Roman" w:hAnsi="Times New Roman"/>
              </w:rPr>
              <w:t>Community Circle Strategy</w:t>
            </w:r>
            <w:r w:rsidRPr="0087122F" w:rsidR="00666426">
              <w:rPr>
                <w:rFonts w:ascii="Times New Roman" w:hAnsi="Times New Roman"/>
              </w:rPr>
              <w:t xml:space="preserve">, </w:t>
            </w:r>
            <w:r>
              <w:rPr>
                <w:rFonts w:ascii="Times New Roman" w:hAnsi="Times New Roman"/>
              </w:rPr>
              <w:t>Student’s Speaking</w:t>
            </w:r>
            <w:r w:rsidRPr="00D75D19" w:rsidR="00666426">
              <w:rPr>
                <w:rFonts w:ascii="Times New Roman" w:hAnsi="Times New Roman"/>
                <w:lang w:val="id-ID"/>
              </w:rPr>
              <w:t xml:space="preserve"> </w:t>
            </w:r>
          </w:p>
        </w:tc>
        <w:tc>
          <w:tcPr>
            <w:tcW w:w="6179" w:type="dxa"/>
            <w:vMerge/>
            <w:shd w:val="clear" w:color="auto" w:fill="auto"/>
          </w:tcPr>
          <w:p w:rsidR="003C3C52" w:rsidRPr="00821A2C" w:rsidP="00CD0A43" w14:paraId="4444E125" w14:textId="77777777">
            <w:pPr>
              <w:pStyle w:val="NoSpacing"/>
              <w:rPr>
                <w:rFonts w:ascii="Times New Roman" w:hAnsi="Times New Roman"/>
              </w:rPr>
            </w:pPr>
          </w:p>
        </w:tc>
      </w:tr>
      <w:tr w14:paraId="0DED5304" w14:textId="77777777" w:rsidTr="00941470">
        <w:tblPrEx>
          <w:tblW w:w="0" w:type="auto"/>
          <w:tblInd w:w="108" w:type="dxa"/>
          <w:tblLook w:val="04A0"/>
        </w:tblPrEx>
        <w:trPr>
          <w:trHeight w:val="673"/>
        </w:trPr>
        <w:tc>
          <w:tcPr>
            <w:tcW w:w="8505" w:type="dxa"/>
            <w:gridSpan w:val="2"/>
            <w:shd w:val="clear" w:color="auto" w:fill="auto"/>
          </w:tcPr>
          <w:p w:rsidR="003C3C52" w:rsidRPr="000121B0" w:rsidP="00CD0A43" w14:paraId="7ECDB7A3" w14:textId="77777777">
            <w:pPr>
              <w:pStyle w:val="NoSpacing"/>
              <w:rPr>
                <w:rFonts w:ascii="Times New Roman" w:hAnsi="Times New Roman"/>
                <w:b/>
                <w:lang w:val="id-ID"/>
              </w:rPr>
            </w:pPr>
            <w:r w:rsidRPr="000121B0">
              <w:rPr>
                <w:rFonts w:ascii="Times New Roman" w:hAnsi="Times New Roman"/>
                <w:b/>
              </w:rPr>
              <w:t xml:space="preserve">Alamat </w:t>
            </w:r>
            <w:r w:rsidRPr="000121B0">
              <w:rPr>
                <w:rFonts w:ascii="Times New Roman" w:hAnsi="Times New Roman"/>
                <w:b/>
              </w:rPr>
              <w:t>Korespondensi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71"/>
              <w:gridCol w:w="5942"/>
            </w:tblGrid>
            <w:tr w14:paraId="01E686A8" w14:textId="77777777" w:rsidTr="009051CE">
              <w:tblPrEx>
                <w:tblW w:w="0" w:type="auto"/>
                <w:tblLook w:val="04A0"/>
              </w:tblPrEx>
              <w:tc>
                <w:tcPr>
                  <w:tcW w:w="1838" w:type="dxa"/>
                  <w:hideMark/>
                </w:tcPr>
                <w:p w:rsidR="009051CE" w:rsidP="009051CE" w14:paraId="4177A13B" w14:textId="77777777">
                  <w:pPr>
                    <w:spacing w:after="0" w:line="240" w:lineRule="auto"/>
                    <w:rPr>
                      <w:rFonts w:ascii="Times New Roman" w:hAnsi="Times New Roman"/>
                      <w:sz w:val="20"/>
                      <w:szCs w:val="20"/>
                    </w:rPr>
                  </w:pPr>
                  <w:r>
                    <w:rPr>
                      <w:rFonts w:ascii="Times New Roman" w:hAnsi="Times New Roman"/>
                      <w:sz w:val="20"/>
                      <w:szCs w:val="20"/>
                    </w:rPr>
                    <w:t>Nama</w:t>
                  </w:r>
                </w:p>
              </w:tc>
              <w:tc>
                <w:tcPr>
                  <w:tcW w:w="6656" w:type="dxa"/>
                  <w:hideMark/>
                </w:tcPr>
                <w:p w:rsidR="009051CE" w:rsidP="009051CE" w14:paraId="25712D60" w14:textId="77777777">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Siti Nor Khofifah</w:t>
                  </w:r>
                  <w:r>
                    <w:rPr>
                      <w:rFonts w:ascii="Times New Roman" w:hAnsi="Times New Roman"/>
                      <w:sz w:val="20"/>
                      <w:szCs w:val="20"/>
                      <w:vertAlign w:val="superscript"/>
                    </w:rPr>
                    <w:t>1</w:t>
                  </w:r>
                  <w:r>
                    <w:rPr>
                      <w:rFonts w:ascii="Times New Roman" w:hAnsi="Times New Roman"/>
                      <w:sz w:val="20"/>
                      <w:szCs w:val="20"/>
                    </w:rPr>
                    <w:t>, Moh. Arifin</w:t>
                  </w:r>
                  <w:r>
                    <w:rPr>
                      <w:rFonts w:ascii="Times New Roman" w:hAnsi="Times New Roman"/>
                      <w:sz w:val="20"/>
                      <w:szCs w:val="20"/>
                      <w:vertAlign w:val="superscript"/>
                    </w:rPr>
                    <w:t>2</w:t>
                  </w:r>
                  <w:r>
                    <w:rPr>
                      <w:rFonts w:ascii="Times New Roman" w:hAnsi="Times New Roman"/>
                      <w:sz w:val="20"/>
                      <w:szCs w:val="20"/>
                    </w:rPr>
                    <w:t xml:space="preserve"> , M. Labib Al Halim</w:t>
                  </w:r>
                  <w:r>
                    <w:rPr>
                      <w:rFonts w:ascii="Times New Roman" w:hAnsi="Times New Roman"/>
                      <w:sz w:val="20"/>
                      <w:szCs w:val="20"/>
                      <w:vertAlign w:val="superscript"/>
                    </w:rPr>
                    <w:t>3</w:t>
                  </w:r>
                </w:p>
              </w:tc>
            </w:tr>
            <w:tr w14:paraId="678F3E69" w14:textId="77777777" w:rsidTr="009051CE">
              <w:tblPrEx>
                <w:tblW w:w="0" w:type="auto"/>
                <w:tblLook w:val="04A0"/>
              </w:tblPrEx>
              <w:tc>
                <w:tcPr>
                  <w:tcW w:w="1838" w:type="dxa"/>
                  <w:hideMark/>
                </w:tcPr>
                <w:p w:rsidR="009051CE" w:rsidP="009051CE" w14:paraId="03C89927" w14:textId="77777777">
                  <w:pPr>
                    <w:spacing w:after="0" w:line="240" w:lineRule="auto"/>
                    <w:rPr>
                      <w:rFonts w:ascii="Times New Roman" w:hAnsi="Times New Roman"/>
                      <w:sz w:val="20"/>
                      <w:szCs w:val="20"/>
                    </w:rPr>
                  </w:pPr>
                  <w:r>
                    <w:rPr>
                      <w:rFonts w:ascii="Times New Roman" w:hAnsi="Times New Roman"/>
                      <w:sz w:val="20"/>
                      <w:szCs w:val="20"/>
                    </w:rPr>
                    <w:t>Instansi</w:t>
                  </w:r>
                </w:p>
              </w:tc>
              <w:tc>
                <w:tcPr>
                  <w:tcW w:w="6656" w:type="dxa"/>
                  <w:hideMark/>
                </w:tcPr>
                <w:p w:rsidR="009051CE" w:rsidP="009051CE" w14:paraId="41A81089" w14:textId="77777777">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vertAlign w:val="superscript"/>
                    </w:rPr>
                    <w:t>123</w:t>
                  </w:r>
                  <w:r>
                    <w:rPr>
                      <w:rFonts w:ascii="Times New Roman" w:hAnsi="Times New Roman"/>
                      <w:sz w:val="20"/>
                      <w:szCs w:val="20"/>
                    </w:rPr>
                    <w:t xml:space="preserve">Universitas </w:t>
                  </w:r>
                  <w:r>
                    <w:rPr>
                      <w:rFonts w:ascii="Times New Roman" w:hAnsi="Times New Roman"/>
                      <w:sz w:val="20"/>
                      <w:szCs w:val="20"/>
                    </w:rPr>
                    <w:t>Billfath</w:t>
                  </w:r>
                  <w:r>
                    <w:rPr>
                      <w:rFonts w:ascii="Times New Roman" w:hAnsi="Times New Roman"/>
                      <w:sz w:val="20"/>
                      <w:szCs w:val="20"/>
                    </w:rPr>
                    <w:t xml:space="preserve"> </w:t>
                  </w:r>
                  <w:r>
                    <w:rPr>
                      <w:rFonts w:ascii="Times New Roman" w:hAnsi="Times New Roman"/>
                      <w:sz w:val="20"/>
                      <w:szCs w:val="20"/>
                    </w:rPr>
                    <w:t>Lamongan</w:t>
                  </w:r>
                </w:p>
              </w:tc>
            </w:tr>
            <w:tr w14:paraId="2884B496" w14:textId="77777777" w:rsidTr="009051CE">
              <w:tblPrEx>
                <w:tblW w:w="0" w:type="auto"/>
                <w:tblLook w:val="04A0"/>
              </w:tblPrEx>
              <w:trPr>
                <w:trHeight w:val="570"/>
              </w:trPr>
              <w:tc>
                <w:tcPr>
                  <w:tcW w:w="1838" w:type="dxa"/>
                  <w:hideMark/>
                </w:tcPr>
                <w:p w:rsidR="009051CE" w:rsidP="009051CE" w14:paraId="7D5A2D37" w14:textId="77777777">
                  <w:pPr>
                    <w:spacing w:after="0" w:line="240" w:lineRule="auto"/>
                    <w:rPr>
                      <w:rFonts w:ascii="Times New Roman" w:hAnsi="Times New Roman"/>
                      <w:sz w:val="20"/>
                      <w:szCs w:val="20"/>
                    </w:rPr>
                  </w:pPr>
                  <w:r>
                    <w:rPr>
                      <w:rFonts w:ascii="Times New Roman" w:hAnsi="Times New Roman"/>
                      <w:sz w:val="20"/>
                      <w:szCs w:val="20"/>
                    </w:rPr>
                    <w:t>Surel</w:t>
                  </w:r>
                </w:p>
              </w:tc>
              <w:tc>
                <w:tcPr>
                  <w:tcW w:w="6656" w:type="dxa"/>
                  <w:hideMark/>
                </w:tcPr>
                <w:p w:rsidR="009051CE" w:rsidP="009051CE" w14:paraId="0785867A" w14:textId="77777777">
                  <w:pPr>
                    <w:spacing w:after="0" w:line="240" w:lineRule="auto"/>
                    <w:rPr>
                      <w:rFonts w:ascii="Times New Roman" w:hAnsi="Times New Roman"/>
                      <w:sz w:val="20"/>
                      <w:szCs w:val="20"/>
                    </w:rPr>
                  </w:pPr>
                  <w:r>
                    <w:rPr>
                      <w:rFonts w:ascii="Times New Roman" w:hAnsi="Times New Roman"/>
                      <w:b/>
                      <w:bCs/>
                      <w:sz w:val="20"/>
                      <w:szCs w:val="20"/>
                    </w:rPr>
                    <w:t xml:space="preserve">: </w:t>
                  </w:r>
                  <w:hyperlink r:id="rId5" w:history="1">
                    <w:r>
                      <w:rPr>
                        <w:rStyle w:val="Hyperlink"/>
                        <w:rFonts w:ascii="Times New Roman" w:eastAsia="SimSun" w:hAnsi="Times New Roman"/>
                        <w:sz w:val="20"/>
                        <w:szCs w:val="20"/>
                      </w:rPr>
                      <w:t>snkhofifah12@gmail.com</w:t>
                    </w:r>
                  </w:hyperlink>
                  <w:r>
                    <w:rPr>
                      <w:rStyle w:val="Hyperlink"/>
                      <w:rFonts w:ascii="Times New Roman" w:eastAsia="SimSun" w:hAnsi="Times New Roman"/>
                      <w:sz w:val="20"/>
                      <w:szCs w:val="20"/>
                    </w:rPr>
                    <w:t xml:space="preserve">,  </w:t>
                  </w:r>
                  <w:hyperlink r:id="rId6" w:history="1">
                    <w:r>
                      <w:rPr>
                        <w:rStyle w:val="Hyperlink"/>
                        <w:rFonts w:ascii="Times New Roman" w:eastAsia="SimSun" w:hAnsi="Times New Roman"/>
                        <w:sz w:val="20"/>
                        <w:szCs w:val="20"/>
                      </w:rPr>
                      <w:t>moharifin957@gmail.com</w:t>
                    </w:r>
                  </w:hyperlink>
                  <w:r>
                    <w:rPr>
                      <w:rStyle w:val="Hyperlink"/>
                      <w:rFonts w:ascii="Times New Roman" w:eastAsia="SimSun" w:hAnsi="Times New Roman"/>
                      <w:sz w:val="20"/>
                      <w:szCs w:val="20"/>
                    </w:rPr>
                    <w:t>,</w:t>
                  </w:r>
                  <w:r>
                    <w:rPr>
                      <w:rStyle w:val="Hyperlink"/>
                      <w:rFonts w:eastAsia="SimSun"/>
                    </w:rPr>
                    <w:t xml:space="preserve"> </w:t>
                  </w:r>
                  <w:r>
                    <w:rPr>
                      <w:rStyle w:val="Hyperlink"/>
                      <w:rFonts w:ascii="Times New Roman" w:eastAsia="SimSun" w:hAnsi="Times New Roman"/>
                      <w:sz w:val="20"/>
                      <w:szCs w:val="20"/>
                    </w:rPr>
                    <w:t>labibhalim27@gmail.com</w:t>
                  </w:r>
                </w:p>
              </w:tc>
            </w:tr>
          </w:tbl>
          <w:p w:rsidR="009121DB" w:rsidRPr="009051CE" w:rsidP="0070648C" w14:paraId="08505C30" w14:textId="701A7140">
            <w:pPr>
              <w:pStyle w:val="NoSpacing"/>
              <w:rPr>
                <w:rFonts w:ascii="Times New Roman" w:hAnsi="Times New Roman"/>
                <w:lang w:val="en-ID"/>
              </w:rPr>
            </w:pPr>
          </w:p>
        </w:tc>
      </w:tr>
    </w:tbl>
    <w:p w:rsidR="00E767DB" w:rsidP="000121B0" w14:paraId="64966F0E" w14:textId="77777777">
      <w:pPr>
        <w:pStyle w:val="IEEEParagraph"/>
        <w:spacing w:line="276" w:lineRule="auto"/>
        <w:ind w:firstLine="270"/>
        <w:rPr>
          <w:sz w:val="22"/>
        </w:rPr>
      </w:pPr>
    </w:p>
    <w:p w:rsidR="009051CE" w:rsidRPr="009051CE" w:rsidP="009051CE" w14:paraId="66BA6285" w14:textId="77777777">
      <w:pPr>
        <w:spacing w:after="0" w:line="276" w:lineRule="auto"/>
        <w:jc w:val="both"/>
        <w:rPr>
          <w:rFonts w:ascii="Times New Roman" w:hAnsi="Times New Roman"/>
        </w:rPr>
      </w:pPr>
      <w:r w:rsidRPr="009051CE">
        <w:rPr>
          <w:rFonts w:ascii="Times New Roman" w:hAnsi="Times New Roman"/>
        </w:rPr>
        <w:t>In contemporary times, many people struggle with communication across different languages because they lack confidence in speaking. English, as a second language, serves as a universal means of communication among individuals from diverse countries. English serves as the predominant language in Scientific research, education, business, the internet, travel and tourism, media, newspapers, software development, medicine, engineering, information technology, banking, and various other domains. As a result, a vast majority of foreign language learners prioritize mastering English as their primary mode of communication. According to Rao (2019), English is extensively spoken globally and has attained the status of a global language. Moreover, communication</w:t>
      </w:r>
      <w:r w:rsidRPr="009051CE">
        <w:rPr>
          <w:rFonts w:ascii="Times New Roman" w:hAnsi="Times New Roman"/>
          <w:lang w:val="id-ID"/>
        </w:rPr>
        <w:t xml:space="preserve"> </w:t>
      </w:r>
      <w:r w:rsidRPr="009051CE">
        <w:rPr>
          <w:rFonts w:ascii="Times New Roman" w:hAnsi="Times New Roman"/>
          <w:lang w:val="id-ID"/>
        </w:rPr>
        <w:t>becomes</w:t>
      </w:r>
      <w:r w:rsidRPr="009051CE">
        <w:rPr>
          <w:rFonts w:ascii="Times New Roman" w:hAnsi="Times New Roman"/>
        </w:rPr>
        <w:t xml:space="preserve"> a means to convey emotions and ideas. Effective communication begins with individuals' willingness to express themselves, making it essential for students to develop this skill.</w:t>
      </w:r>
    </w:p>
    <w:p w:rsidR="009051CE" w:rsidRPr="009051CE" w:rsidP="009051CE" w14:paraId="176287B3" w14:textId="77777777">
      <w:pPr>
        <w:ind w:firstLine="284"/>
        <w:jc w:val="both"/>
        <w:rPr>
          <w:rFonts w:ascii="Times New Roman" w:hAnsi="Times New Roman"/>
          <w:szCs w:val="20"/>
        </w:rPr>
      </w:pPr>
      <w:r w:rsidRPr="009051CE">
        <w:rPr>
          <w:rFonts w:ascii="Times New Roman" w:hAnsi="Times New Roman"/>
          <w:szCs w:val="20"/>
        </w:rPr>
        <w:t xml:space="preserve">Developing effective speaking skills is crucial for students in educational landscape. Beyond academic achievement, the ability to articulate thoughts clearly and confidently enhances communication, fosters critical thinking, and prepares students to achieve success in their future professional endeavors and personal interactions. As Jack (2008) asserts, speaking serves three distinct functions: interaction, transaction, and performance. The interaction among individuals is also facilitated by interpersonal intelligence, enabling students to establish personal relationships and foster social connections that attract the attention of others, leading to success. According to Goleman (2011), people with strong interpersonal intelligence typically thrive in careers that require teamwork and extensive interaction with others. According to Goh (2017) stated that speaking activities are often viewed more as opportunities for practicing rather than as activities primarily focused on learning. Due to student perceives speaking as the most challenging aspect in practice. Therefore. the researcher tried to change learning method use the community circle strategy on learning proses. </w:t>
      </w:r>
    </w:p>
    <w:p w:rsidR="009051CE" w:rsidRPr="009051CE" w:rsidP="009051CE" w14:paraId="39FC8969" w14:textId="77777777">
      <w:pPr>
        <w:ind w:firstLine="284"/>
        <w:jc w:val="both"/>
        <w:rPr>
          <w:rFonts w:ascii="Times New Roman" w:hAnsi="Times New Roman"/>
          <w:szCs w:val="20"/>
        </w:rPr>
      </w:pPr>
      <w:r w:rsidRPr="009051CE">
        <w:rPr>
          <w:rFonts w:ascii="Times New Roman" w:hAnsi="Times New Roman"/>
          <w:szCs w:val="20"/>
        </w:rPr>
        <w:t xml:space="preserve">The community circle strategy in education is an effective instructional approach aimed at enhancing speaking and active listening skills among students. This aligns with Brown's statement (2004: 25) that within the classroom, students are viewed not merely as a class but as a community or group requiring specific therapeutic and counseling approaches. Consequently, there is minimal distance between teachers and students, typically fostering a comfortable class atmosphere.  This strategy provides students with opportunities to articulate their thoughts, feelings, and values. Furthermore, the community circle offers significant benefits by enabling students to express and develop their ideas pertaining to the topic at hand, thereby facilitating early and thorough comprehension of the subject matter. </w:t>
      </w:r>
      <w:r w:rsidRPr="009051CE">
        <w:rPr>
          <w:rFonts w:ascii="Times New Roman" w:hAnsi="Times New Roman"/>
          <w:szCs w:val="20"/>
        </w:rPr>
        <w:t>Pachelova</w:t>
      </w:r>
      <w:r w:rsidRPr="009051CE">
        <w:rPr>
          <w:rFonts w:ascii="Times New Roman" w:hAnsi="Times New Roman"/>
          <w:szCs w:val="20"/>
        </w:rPr>
        <w:t xml:space="preserve"> (2021) concluded that the community circle fosters reflection on personal attitudes as students articulate their own viewpoints and become familiar with their classmates' perspectives, facilitating constructive dialogue. The discussion circle </w:t>
      </w:r>
      <w:r w:rsidRPr="009051CE">
        <w:rPr>
          <w:rFonts w:ascii="Times New Roman" w:hAnsi="Times New Roman"/>
          <w:szCs w:val="20"/>
        </w:rPr>
        <w:t>provides a platform for sharing thoughts and listening to diverse viewpoints, while the reflective circle encourages the application of ideas to personal experiences (Bucci et al., 2017). The researcher rationale for employing this strategy is multifaceted. Firstly, it aims to broaden students' awareness that learning can occur through diverse methods. Secondly, it seeks to foster emotional engagement among students and enhance their mutual attentiveness during information assimilation. Thirdly, it endeavors to provide students with increased opportunities to demonstrate their speaking abilities and critically assess areas for improvement.</w:t>
      </w:r>
    </w:p>
    <w:p w:rsidR="003134CE" w:rsidP="003134CE" w14:paraId="5F200C6C" w14:textId="77777777">
      <w:pPr>
        <w:spacing w:after="0" w:line="276" w:lineRule="auto"/>
        <w:jc w:val="both"/>
        <w:rPr>
          <w:rFonts w:ascii="Times New Roman" w:hAnsi="Times New Roman"/>
        </w:rPr>
      </w:pPr>
    </w:p>
    <w:p w:rsidR="003134CE" w:rsidP="003134CE" w14:paraId="6ABCFD35" w14:textId="77777777">
      <w:pPr>
        <w:spacing w:after="0" w:line="276" w:lineRule="auto"/>
        <w:jc w:val="both"/>
        <w:rPr>
          <w:rFonts w:ascii="Times New Roman" w:hAnsi="Times New Roman"/>
        </w:rPr>
      </w:pPr>
    </w:p>
    <w:p w:rsidR="003134CE" w:rsidRPr="007119F3" w:rsidP="003134CE" w14:paraId="189D0C96" w14:textId="12394794">
      <w:pPr>
        <w:pStyle w:val="IEEEHeading1"/>
        <w:numPr>
          <w:ilvl w:val="0"/>
          <w:numId w:val="0"/>
        </w:numPr>
        <w:spacing w:before="0" w:after="0" w:line="276" w:lineRule="auto"/>
        <w:rPr>
          <w:b/>
          <w:sz w:val="22"/>
          <w:lang w:val="id-ID"/>
        </w:rPr>
      </w:pPr>
      <w:r w:rsidRPr="007119F3">
        <w:rPr>
          <w:b/>
          <w:iCs/>
          <w:sz w:val="22"/>
          <w:lang w:val="id-ID"/>
        </w:rPr>
        <w:t>MET</w:t>
      </w:r>
      <w:r w:rsidR="008B50C0">
        <w:rPr>
          <w:b/>
          <w:iCs/>
          <w:sz w:val="22"/>
          <w:lang w:val="id-ID"/>
        </w:rPr>
        <w:t>H</w:t>
      </w:r>
      <w:r w:rsidRPr="007119F3">
        <w:rPr>
          <w:b/>
          <w:iCs/>
          <w:sz w:val="22"/>
          <w:lang w:val="id-ID"/>
        </w:rPr>
        <w:t>OD</w:t>
      </w:r>
    </w:p>
    <w:p w:rsidR="009051CE" w:rsidRPr="009051CE" w:rsidP="009051CE" w14:paraId="751DF446" w14:textId="4FF8257A">
      <w:pPr>
        <w:ind w:firstLine="284"/>
        <w:jc w:val="both"/>
        <w:rPr>
          <w:rFonts w:ascii="Times New Roman" w:hAnsi="Times New Roman"/>
          <w:szCs w:val="20"/>
        </w:rPr>
      </w:pPr>
      <w:bookmarkStart w:id="1" w:name="_Hlk146179831"/>
      <w:r w:rsidRPr="009051CE">
        <w:rPr>
          <w:rFonts w:ascii="Times New Roman" w:hAnsi="Times New Roman"/>
          <w:szCs w:val="20"/>
          <w:lang w:val="id-ID"/>
        </w:rPr>
        <w:t>The</w:t>
      </w:r>
      <w:r>
        <w:rPr>
          <w:rFonts w:ascii="Times New Roman" w:hAnsi="Times New Roman"/>
          <w:szCs w:val="20"/>
          <w:lang w:val="id-ID"/>
        </w:rPr>
        <w:t xml:space="preserve"> </w:t>
      </w:r>
      <w:r w:rsidRPr="009051CE">
        <w:rPr>
          <w:rFonts w:ascii="Times New Roman" w:hAnsi="Times New Roman"/>
          <w:szCs w:val="20"/>
          <w:lang w:val="id-ID"/>
        </w:rPr>
        <w:t>purpose</w:t>
      </w:r>
      <w:r>
        <w:rPr>
          <w:rFonts w:ascii="Times New Roman" w:hAnsi="Times New Roman"/>
          <w:szCs w:val="20"/>
          <w:lang w:val="id-ID"/>
        </w:rPr>
        <w:t xml:space="preserve"> </w:t>
      </w:r>
      <w:r w:rsidRPr="009051CE">
        <w:rPr>
          <w:rFonts w:ascii="Times New Roman" w:hAnsi="Times New Roman"/>
          <w:szCs w:val="20"/>
          <w:lang w:val="id-ID"/>
        </w:rPr>
        <w:t>of</w:t>
      </w:r>
      <w:r w:rsidRPr="009051CE">
        <w:rPr>
          <w:rFonts w:ascii="Times New Roman" w:hAnsi="Times New Roman"/>
          <w:szCs w:val="20"/>
          <w:lang w:val="id-ID"/>
        </w:rPr>
        <w:t xml:space="preserve"> </w:t>
      </w:r>
      <w:r w:rsidRPr="009051CE">
        <w:rPr>
          <w:rFonts w:ascii="Times New Roman" w:hAnsi="Times New Roman"/>
          <w:szCs w:val="20"/>
          <w:lang w:val="id-ID"/>
        </w:rPr>
        <w:t>the</w:t>
      </w:r>
      <w:r w:rsidRPr="009051CE">
        <w:rPr>
          <w:rFonts w:ascii="Times New Roman" w:hAnsi="Times New Roman"/>
          <w:szCs w:val="20"/>
          <w:lang w:val="id-ID"/>
        </w:rPr>
        <w:t xml:space="preserve"> </w:t>
      </w:r>
      <w:r w:rsidRPr="009051CE">
        <w:rPr>
          <w:rFonts w:ascii="Times New Roman" w:hAnsi="Times New Roman"/>
          <w:szCs w:val="20"/>
          <w:lang w:val="id-ID"/>
        </w:rPr>
        <w:t>research</w:t>
      </w:r>
      <w:r>
        <w:rPr>
          <w:rFonts w:ascii="Times New Roman" w:hAnsi="Times New Roman"/>
          <w:szCs w:val="20"/>
          <w:lang w:val="id-ID"/>
        </w:rPr>
        <w:t xml:space="preserve"> </w:t>
      </w:r>
      <w:r w:rsidRPr="009051CE">
        <w:rPr>
          <w:rFonts w:ascii="Times New Roman" w:hAnsi="Times New Roman"/>
          <w:szCs w:val="20"/>
          <w:lang w:val="id-ID"/>
        </w:rPr>
        <w:t>is</w:t>
      </w:r>
      <w:r w:rsidRPr="009051CE">
        <w:rPr>
          <w:rFonts w:ascii="Times New Roman" w:hAnsi="Times New Roman"/>
          <w:szCs w:val="20"/>
          <w:lang w:val="id-ID"/>
        </w:rPr>
        <w:t xml:space="preserve"> </w:t>
      </w:r>
      <w:r w:rsidRPr="009051CE">
        <w:rPr>
          <w:rFonts w:ascii="Times New Roman" w:hAnsi="Times New Roman"/>
          <w:szCs w:val="20"/>
        </w:rPr>
        <w:t>to evaluate the</w:t>
      </w:r>
      <w:r>
        <w:rPr>
          <w:rFonts w:ascii="Times New Roman" w:hAnsi="Times New Roman"/>
          <w:szCs w:val="20"/>
        </w:rPr>
        <w:t xml:space="preserve"> </w:t>
      </w:r>
      <w:r w:rsidRPr="009051CE">
        <w:rPr>
          <w:rFonts w:ascii="Times New Roman" w:hAnsi="Times New Roman"/>
          <w:szCs w:val="20"/>
        </w:rPr>
        <w:t>effectiveness of using the Community Circle Strategy in enhancing students' English-speaking proficiency. The researcher employed a quantitative method to achieve the research objectives. Notwithstanding the availability of various research designs, such as Pre-Experimental Design, True</w:t>
      </w:r>
      <w:r>
        <w:rPr>
          <w:rFonts w:ascii="Times New Roman" w:hAnsi="Times New Roman"/>
          <w:szCs w:val="20"/>
        </w:rPr>
        <w:t xml:space="preserve"> </w:t>
      </w:r>
      <w:r w:rsidRPr="009051CE">
        <w:rPr>
          <w:rFonts w:ascii="Times New Roman" w:hAnsi="Times New Roman"/>
          <w:szCs w:val="20"/>
        </w:rPr>
        <w:t>Experimental Design, Factorial</w:t>
      </w:r>
      <w:r>
        <w:rPr>
          <w:rFonts w:ascii="Times New Roman" w:hAnsi="Times New Roman"/>
          <w:szCs w:val="20"/>
        </w:rPr>
        <w:t xml:space="preserve"> </w:t>
      </w:r>
      <w:r w:rsidRPr="009051CE">
        <w:rPr>
          <w:rFonts w:ascii="Times New Roman" w:hAnsi="Times New Roman"/>
          <w:szCs w:val="20"/>
        </w:rPr>
        <w:t>Experimental Design, and Quasi</w:t>
      </w:r>
      <w:r w:rsidR="008B50C0">
        <w:rPr>
          <w:rFonts w:ascii="Times New Roman" w:hAnsi="Times New Roman"/>
          <w:szCs w:val="20"/>
        </w:rPr>
        <w:t xml:space="preserve"> </w:t>
      </w:r>
      <w:r w:rsidRPr="009051CE">
        <w:rPr>
          <w:rFonts w:ascii="Times New Roman" w:hAnsi="Times New Roman"/>
          <w:szCs w:val="20"/>
        </w:rPr>
        <w:t>Experimental Design</w:t>
      </w:r>
      <w:r w:rsidR="008B50C0">
        <w:rPr>
          <w:rFonts w:ascii="Times New Roman" w:hAnsi="Times New Roman"/>
          <w:szCs w:val="20"/>
        </w:rPr>
        <w:t xml:space="preserve">. </w:t>
      </w:r>
      <w:r w:rsidRPr="009051CE" w:rsidR="008B50C0">
        <w:rPr>
          <w:rFonts w:ascii="Times New Roman" w:hAnsi="Times New Roman"/>
          <w:szCs w:val="20"/>
        </w:rPr>
        <w:t xml:space="preserve">The </w:t>
      </w:r>
      <w:r w:rsidRPr="009051CE">
        <w:rPr>
          <w:rFonts w:ascii="Times New Roman" w:hAnsi="Times New Roman"/>
          <w:szCs w:val="20"/>
        </w:rPr>
        <w:t>researcher opted for the Pre-Experimental Design as it aligns with the required research standards. According to Cohen (2007:274) explained that pre-experimental designs include the one-group pretest-posttest design and the one-group posttest-only design, which is a non-equivalent group design where only the posttest is conducted, the pre-experimental design with a single group pre-test and post-test is deemed appropriate for addressing the research problem. By observing a single class before and after the implementation of the strategy, the researcher can assess the progress in students' speaking abilities. If there is an improvement in post-test scores compared to pre-test scores, According to Babbie (2010) The research was divided into three parts: a pre-test, treatments, and a post-test. In experimental research, the goal is to test the accuracy of a hypothesis by giving certain subjects appropriate treatments it indicates that the use of the Community Circle Strategy has successfully enhanced students' English-speaking proficiency.</w:t>
      </w:r>
    </w:p>
    <w:bookmarkEnd w:id="1"/>
    <w:p w:rsidR="008B50C0" w:rsidP="003134CE" w14:paraId="2B696B05" w14:textId="77777777">
      <w:pPr>
        <w:pStyle w:val="IEEEHeading1"/>
        <w:numPr>
          <w:ilvl w:val="0"/>
          <w:numId w:val="0"/>
        </w:numPr>
        <w:spacing w:before="0" w:after="0" w:line="276" w:lineRule="auto"/>
        <w:rPr>
          <w:b/>
          <w:iCs/>
          <w:sz w:val="22"/>
          <w:szCs w:val="20"/>
          <w:lang w:val="id-ID"/>
        </w:rPr>
      </w:pPr>
    </w:p>
    <w:p w:rsidR="003134CE" w:rsidRPr="007119F3" w:rsidP="008B50C0" w14:paraId="22FED9A8" w14:textId="18D08D20">
      <w:pPr>
        <w:pStyle w:val="IEEEHeading1"/>
        <w:numPr>
          <w:ilvl w:val="0"/>
          <w:numId w:val="0"/>
        </w:numPr>
        <w:spacing w:before="0" w:after="0" w:line="276" w:lineRule="auto"/>
        <w:ind w:firstLine="284"/>
        <w:rPr>
          <w:b/>
          <w:iCs/>
          <w:sz w:val="22"/>
          <w:szCs w:val="20"/>
          <w:lang w:val="id-ID"/>
        </w:rPr>
      </w:pPr>
      <w:r>
        <w:rPr>
          <w:b/>
          <w:iCs/>
          <w:sz w:val="22"/>
          <w:szCs w:val="20"/>
          <w:lang w:val="id-ID"/>
        </w:rPr>
        <w:t>RESULT</w:t>
      </w:r>
    </w:p>
    <w:p w:rsidR="008B50C0" w:rsidP="008B50C0" w14:paraId="05E926B1" w14:textId="06D8CA80">
      <w:pPr>
        <w:spacing w:after="0"/>
        <w:ind w:firstLine="284"/>
        <w:jc w:val="both"/>
        <w:rPr>
          <w:rFonts w:asciiTheme="majorBidi" w:hAnsiTheme="majorBidi" w:cstheme="majorBidi"/>
          <w:szCs w:val="20"/>
        </w:rPr>
      </w:pPr>
      <w:r w:rsidRPr="008B50C0">
        <w:rPr>
          <w:rFonts w:asciiTheme="majorBidi" w:hAnsiTheme="majorBidi" w:cstheme="majorBidi"/>
          <w:szCs w:val="20"/>
        </w:rPr>
        <w:t xml:space="preserve">The researcher conducted </w:t>
      </w:r>
      <w:r w:rsidRPr="008B50C0">
        <w:rPr>
          <w:rFonts w:asciiTheme="majorBidi" w:hAnsiTheme="majorBidi" w:cstheme="majorBidi"/>
          <w:szCs w:val="20"/>
          <w:lang w:val="id-ID"/>
        </w:rPr>
        <w:t>an</w:t>
      </w:r>
      <w:r w:rsidRPr="008B50C0">
        <w:rPr>
          <w:rFonts w:asciiTheme="majorBidi" w:hAnsiTheme="majorBidi" w:cstheme="majorBidi"/>
          <w:szCs w:val="20"/>
          <w:lang w:val="id-ID"/>
        </w:rPr>
        <w:t xml:space="preserve"> </w:t>
      </w:r>
      <w:r w:rsidRPr="008B50C0">
        <w:rPr>
          <w:rFonts w:asciiTheme="majorBidi" w:hAnsiTheme="majorBidi" w:cstheme="majorBidi"/>
          <w:szCs w:val="20"/>
        </w:rPr>
        <w:t>assessment using pre-tests</w:t>
      </w:r>
      <w:r w:rsidRPr="008B50C0">
        <w:rPr>
          <w:rFonts w:asciiTheme="majorBidi" w:hAnsiTheme="majorBidi" w:cstheme="majorBidi"/>
          <w:szCs w:val="20"/>
          <w:lang w:val="id-ID"/>
        </w:rPr>
        <w:t xml:space="preserve"> </w:t>
      </w:r>
      <w:r w:rsidRPr="008B50C0">
        <w:rPr>
          <w:rFonts w:asciiTheme="majorBidi" w:hAnsiTheme="majorBidi" w:cstheme="majorBidi"/>
          <w:szCs w:val="20"/>
        </w:rPr>
        <w:t xml:space="preserve">to evaluate students' speaking </w:t>
      </w:r>
      <w:r w:rsidRPr="008B50C0">
        <w:rPr>
          <w:rFonts w:asciiTheme="majorBidi" w:hAnsiTheme="majorBidi" w:cstheme="majorBidi"/>
          <w:szCs w:val="20"/>
          <w:lang w:val="id-ID"/>
        </w:rPr>
        <w:t>skills</w:t>
      </w:r>
      <w:r w:rsidRPr="008B50C0">
        <w:rPr>
          <w:rFonts w:asciiTheme="majorBidi" w:hAnsiTheme="majorBidi" w:cstheme="majorBidi"/>
          <w:szCs w:val="20"/>
        </w:rPr>
        <w:t xml:space="preserve"> before implementing the Community Circle Strategy. This strategy represents a language learning method designed to stimulate student interaction, develop auditory sensitivity, and enhance concentration during group activities. Community Circle Strategy Through various exercises and different media, the strategy aims to improve the effectiveness of the Community Circle Strategy for tenth-grade students at MA Al Balagh compared to their previous performance. Prior to administering the intervention, the researcher administered a pre-test to assess students' speaking abilities before participating in the program designed by the researcher. Data used to assess speaking abilities were derived from scoring based on a rubric comprising five aspects in the eleventh-grade class at MA Al Balagh. From the final outcome, four proficiency levels were derived from the speaking assessment. The summarized findings of the pre-test were displayed in Table</w:t>
      </w:r>
      <w:r>
        <w:rPr>
          <w:rFonts w:asciiTheme="majorBidi" w:hAnsiTheme="majorBidi" w:cstheme="majorBidi"/>
          <w:szCs w:val="20"/>
        </w:rPr>
        <w:t xml:space="preserve"> </w:t>
      </w:r>
      <w:r w:rsidRPr="008B50C0">
        <w:rPr>
          <w:rFonts w:asciiTheme="majorBidi" w:hAnsiTheme="majorBidi" w:cstheme="majorBidi"/>
          <w:szCs w:val="20"/>
        </w:rPr>
        <w:t>1</w:t>
      </w:r>
      <w:r>
        <w:rPr>
          <w:rFonts w:asciiTheme="majorBidi" w:hAnsiTheme="majorBidi" w:cstheme="majorBidi"/>
          <w:szCs w:val="20"/>
        </w:rPr>
        <w:t xml:space="preserve"> below</w:t>
      </w:r>
      <w:r w:rsidRPr="008B50C0">
        <w:rPr>
          <w:rFonts w:asciiTheme="majorBidi" w:hAnsiTheme="majorBidi" w:cstheme="majorBidi"/>
          <w:szCs w:val="20"/>
        </w:rPr>
        <w:t>.</w:t>
      </w:r>
    </w:p>
    <w:p w:rsidR="008B50C0" w:rsidP="008B50C0" w14:paraId="56D2E4FB" w14:textId="77777777">
      <w:pPr>
        <w:spacing w:after="0"/>
        <w:ind w:firstLine="284"/>
        <w:jc w:val="both"/>
        <w:rPr>
          <w:rFonts w:asciiTheme="majorBidi" w:hAnsiTheme="majorBidi" w:cstheme="majorBidi"/>
          <w:szCs w:val="20"/>
        </w:rPr>
      </w:pPr>
    </w:p>
    <w:p w:rsidR="008B50C0" w:rsidRPr="008B50C0" w:rsidP="008B50C0" w14:paraId="73C5190C" w14:textId="77777777">
      <w:pPr>
        <w:spacing w:after="0"/>
        <w:ind w:firstLine="284"/>
        <w:jc w:val="both"/>
        <w:rPr>
          <w:rFonts w:asciiTheme="majorBidi" w:hAnsiTheme="majorBidi" w:cstheme="majorBidi"/>
          <w:szCs w:val="20"/>
        </w:rPr>
      </w:pPr>
    </w:p>
    <w:p w:rsidR="008B50C0" w:rsidRPr="008B50C0" w:rsidP="008B50C0" w14:paraId="5C7DF8F0" w14:textId="6B5EDA84">
      <w:pPr>
        <w:spacing w:after="0"/>
        <w:ind w:firstLine="284"/>
        <w:jc w:val="center"/>
        <w:rPr>
          <w:rFonts w:asciiTheme="majorBidi" w:hAnsiTheme="majorBidi" w:cstheme="majorBidi"/>
          <w:b/>
          <w:bCs/>
          <w:szCs w:val="20"/>
        </w:rPr>
      </w:pPr>
      <w:r w:rsidRPr="008B50C0">
        <w:rPr>
          <w:rFonts w:asciiTheme="majorBidi" w:hAnsiTheme="majorBidi" w:cstheme="majorBidi"/>
          <w:b/>
          <w:bCs/>
          <w:szCs w:val="20"/>
        </w:rPr>
        <w:t>Table 1. The Summarized of Pre-Test</w:t>
      </w:r>
    </w:p>
    <w:tbl>
      <w:tblPr>
        <w:tblW w:w="6075" w:type="dxa"/>
        <w:tblInd w:w="986" w:type="dxa"/>
        <w:tblBorders>
          <w:top w:val="single" w:sz="4" w:space="0" w:color="auto"/>
          <w:bottom w:val="single" w:sz="4" w:space="0" w:color="auto"/>
        </w:tblBorders>
        <w:tblLayout w:type="fixed"/>
        <w:tblCellMar>
          <w:left w:w="0" w:type="dxa"/>
          <w:right w:w="0" w:type="dxa"/>
        </w:tblCellMar>
        <w:tblLook w:val="04A0"/>
      </w:tblPr>
      <w:tblGrid>
        <w:gridCol w:w="1406"/>
        <w:gridCol w:w="843"/>
        <w:gridCol w:w="881"/>
        <w:gridCol w:w="907"/>
        <w:gridCol w:w="843"/>
        <w:gridCol w:w="1195"/>
      </w:tblGrid>
      <w:tr w14:paraId="090D7AF6" w14:textId="77777777" w:rsidTr="008B50C0">
        <w:tblPrEx>
          <w:tblW w:w="6075" w:type="dxa"/>
          <w:tblInd w:w="986" w:type="dxa"/>
          <w:tblLayout w:type="fixed"/>
          <w:tblLook w:val="04A0"/>
        </w:tblPrEx>
        <w:trPr>
          <w:cantSplit/>
          <w:trHeight w:val="313"/>
        </w:trPr>
        <w:tc>
          <w:tcPr>
            <w:tcW w:w="1406" w:type="dxa"/>
            <w:tcBorders>
              <w:top w:val="single" w:sz="4" w:space="0" w:color="auto"/>
              <w:left w:val="nil"/>
              <w:bottom w:val="nil"/>
              <w:right w:val="nil"/>
            </w:tcBorders>
            <w:shd w:val="clear" w:color="auto" w:fill="FFFFFF"/>
          </w:tcPr>
          <w:p w:rsidR="008B50C0" w:rsidRPr="008B50C0" w:rsidP="008B50C0" w14:paraId="67C40892" w14:textId="77777777">
            <w:pPr>
              <w:spacing w:after="0"/>
              <w:ind w:firstLine="284"/>
              <w:jc w:val="both"/>
              <w:rPr>
                <w:rFonts w:asciiTheme="majorBidi" w:hAnsiTheme="majorBidi" w:cstheme="majorBidi"/>
                <w:szCs w:val="20"/>
              </w:rPr>
            </w:pPr>
          </w:p>
        </w:tc>
        <w:tc>
          <w:tcPr>
            <w:tcW w:w="843" w:type="dxa"/>
            <w:tcBorders>
              <w:top w:val="single" w:sz="4" w:space="0" w:color="auto"/>
              <w:left w:val="nil"/>
              <w:bottom w:val="nil"/>
              <w:right w:val="nil"/>
            </w:tcBorders>
            <w:shd w:val="clear" w:color="auto" w:fill="FFFFFF"/>
            <w:hideMark/>
          </w:tcPr>
          <w:p w:rsidR="008B50C0" w:rsidRPr="008B50C0" w:rsidP="008B50C0" w14:paraId="6689ACC4"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N</w:t>
            </w:r>
          </w:p>
        </w:tc>
        <w:tc>
          <w:tcPr>
            <w:tcW w:w="881" w:type="dxa"/>
            <w:tcBorders>
              <w:top w:val="single" w:sz="4" w:space="0" w:color="auto"/>
              <w:left w:val="nil"/>
              <w:bottom w:val="nil"/>
              <w:right w:val="nil"/>
            </w:tcBorders>
            <w:shd w:val="clear" w:color="auto" w:fill="FFFFFF"/>
            <w:hideMark/>
          </w:tcPr>
          <w:p w:rsidR="008B50C0" w:rsidRPr="008B50C0" w:rsidP="008B50C0" w14:paraId="4AB5D257"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Minimum</w:t>
            </w:r>
          </w:p>
        </w:tc>
        <w:tc>
          <w:tcPr>
            <w:tcW w:w="907" w:type="dxa"/>
            <w:tcBorders>
              <w:top w:val="single" w:sz="4" w:space="0" w:color="auto"/>
              <w:left w:val="nil"/>
              <w:bottom w:val="nil"/>
              <w:right w:val="nil"/>
            </w:tcBorders>
            <w:shd w:val="clear" w:color="auto" w:fill="FFFFFF"/>
            <w:hideMark/>
          </w:tcPr>
          <w:p w:rsidR="008B50C0" w:rsidRPr="008B50C0" w:rsidP="008B50C0" w14:paraId="3C53261A"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Maximum</w:t>
            </w:r>
          </w:p>
        </w:tc>
        <w:tc>
          <w:tcPr>
            <w:tcW w:w="843" w:type="dxa"/>
            <w:tcBorders>
              <w:top w:val="single" w:sz="4" w:space="0" w:color="auto"/>
              <w:left w:val="nil"/>
              <w:bottom w:val="nil"/>
              <w:right w:val="nil"/>
            </w:tcBorders>
            <w:shd w:val="clear" w:color="auto" w:fill="FFFFFF"/>
            <w:hideMark/>
          </w:tcPr>
          <w:p w:rsidR="008B50C0" w:rsidRPr="008B50C0" w:rsidP="008B50C0" w14:paraId="5CE98CC2"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Mean</w:t>
            </w:r>
          </w:p>
        </w:tc>
        <w:tc>
          <w:tcPr>
            <w:tcW w:w="1195" w:type="dxa"/>
            <w:tcBorders>
              <w:top w:val="single" w:sz="4" w:space="0" w:color="auto"/>
              <w:left w:val="nil"/>
              <w:bottom w:val="nil"/>
              <w:right w:val="nil"/>
            </w:tcBorders>
            <w:shd w:val="clear" w:color="auto" w:fill="FFFFFF"/>
            <w:hideMark/>
          </w:tcPr>
          <w:p w:rsidR="008B50C0" w:rsidRPr="008B50C0" w:rsidP="008B50C0" w14:paraId="06C9DC1A"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Std. Deviation</w:t>
            </w:r>
          </w:p>
        </w:tc>
      </w:tr>
      <w:tr w14:paraId="6378E5C6" w14:textId="77777777" w:rsidTr="008B50C0">
        <w:tblPrEx>
          <w:tblW w:w="6075" w:type="dxa"/>
          <w:tblInd w:w="986" w:type="dxa"/>
          <w:tblLayout w:type="fixed"/>
          <w:tblLook w:val="04A0"/>
        </w:tblPrEx>
        <w:trPr>
          <w:cantSplit/>
          <w:trHeight w:val="313"/>
        </w:trPr>
        <w:tc>
          <w:tcPr>
            <w:tcW w:w="1406" w:type="dxa"/>
            <w:tcBorders>
              <w:top w:val="nil"/>
              <w:left w:val="nil"/>
              <w:bottom w:val="nil"/>
              <w:right w:val="nil"/>
            </w:tcBorders>
            <w:shd w:val="clear" w:color="auto" w:fill="FFFFFF"/>
            <w:vAlign w:val="center"/>
            <w:hideMark/>
          </w:tcPr>
          <w:p w:rsidR="008B50C0" w:rsidRPr="008B50C0" w:rsidP="008B50C0" w14:paraId="6532D49B"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pre test</w:t>
            </w:r>
          </w:p>
        </w:tc>
        <w:tc>
          <w:tcPr>
            <w:tcW w:w="843" w:type="dxa"/>
            <w:tcBorders>
              <w:top w:val="nil"/>
              <w:left w:val="nil"/>
              <w:bottom w:val="nil"/>
              <w:right w:val="nil"/>
            </w:tcBorders>
            <w:shd w:val="clear" w:color="auto" w:fill="FFFFFF"/>
            <w:vAlign w:val="center"/>
            <w:hideMark/>
          </w:tcPr>
          <w:p w:rsidR="008B50C0" w:rsidRPr="008B50C0" w:rsidP="008B50C0" w14:paraId="6A1322B6"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24</w:t>
            </w:r>
          </w:p>
        </w:tc>
        <w:tc>
          <w:tcPr>
            <w:tcW w:w="881" w:type="dxa"/>
            <w:tcBorders>
              <w:top w:val="nil"/>
              <w:left w:val="nil"/>
              <w:bottom w:val="nil"/>
              <w:right w:val="nil"/>
            </w:tcBorders>
            <w:shd w:val="clear" w:color="auto" w:fill="FFFFFF"/>
            <w:vAlign w:val="center"/>
            <w:hideMark/>
          </w:tcPr>
          <w:p w:rsidR="008B50C0" w:rsidRPr="008B50C0" w:rsidP="008B50C0" w14:paraId="7B27893D"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28</w:t>
            </w:r>
          </w:p>
        </w:tc>
        <w:tc>
          <w:tcPr>
            <w:tcW w:w="907" w:type="dxa"/>
            <w:tcBorders>
              <w:top w:val="nil"/>
              <w:left w:val="nil"/>
              <w:bottom w:val="nil"/>
              <w:right w:val="nil"/>
            </w:tcBorders>
            <w:shd w:val="clear" w:color="auto" w:fill="FFFFFF"/>
            <w:vAlign w:val="center"/>
            <w:hideMark/>
          </w:tcPr>
          <w:p w:rsidR="008B50C0" w:rsidRPr="008B50C0" w:rsidP="008B50C0" w14:paraId="36C8E34B"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48</w:t>
            </w:r>
          </w:p>
        </w:tc>
        <w:tc>
          <w:tcPr>
            <w:tcW w:w="843" w:type="dxa"/>
            <w:tcBorders>
              <w:top w:val="nil"/>
              <w:left w:val="nil"/>
              <w:bottom w:val="nil"/>
              <w:right w:val="nil"/>
            </w:tcBorders>
            <w:shd w:val="clear" w:color="auto" w:fill="FFFFFF"/>
            <w:vAlign w:val="center"/>
            <w:hideMark/>
          </w:tcPr>
          <w:p w:rsidR="008B50C0" w:rsidRPr="008B50C0" w:rsidP="008B50C0" w14:paraId="53C49115"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35.00</w:t>
            </w:r>
          </w:p>
        </w:tc>
        <w:tc>
          <w:tcPr>
            <w:tcW w:w="1195" w:type="dxa"/>
            <w:tcBorders>
              <w:top w:val="nil"/>
              <w:left w:val="nil"/>
              <w:bottom w:val="nil"/>
              <w:right w:val="nil"/>
            </w:tcBorders>
            <w:shd w:val="clear" w:color="auto" w:fill="FFFFFF"/>
            <w:vAlign w:val="center"/>
            <w:hideMark/>
          </w:tcPr>
          <w:p w:rsidR="008B50C0" w:rsidRPr="008B50C0" w:rsidP="008B50C0" w14:paraId="36FEAE7E"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5.437</w:t>
            </w:r>
          </w:p>
        </w:tc>
      </w:tr>
      <w:tr w14:paraId="7BD758D6" w14:textId="77777777" w:rsidTr="008B50C0">
        <w:tblPrEx>
          <w:tblW w:w="6075" w:type="dxa"/>
          <w:tblInd w:w="986" w:type="dxa"/>
          <w:tblLayout w:type="fixed"/>
          <w:tblLook w:val="04A0"/>
        </w:tblPrEx>
        <w:trPr>
          <w:cantSplit/>
          <w:trHeight w:val="326"/>
        </w:trPr>
        <w:tc>
          <w:tcPr>
            <w:tcW w:w="1406" w:type="dxa"/>
            <w:tcBorders>
              <w:top w:val="nil"/>
              <w:left w:val="nil"/>
              <w:bottom w:val="single" w:sz="4" w:space="0" w:color="auto"/>
              <w:right w:val="nil"/>
            </w:tcBorders>
            <w:shd w:val="clear" w:color="auto" w:fill="FFFFFF"/>
            <w:vAlign w:val="center"/>
            <w:hideMark/>
          </w:tcPr>
          <w:p w:rsidR="008B50C0" w:rsidRPr="008B50C0" w:rsidP="008B50C0" w14:paraId="3013BA24"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Valid N (listwise)</w:t>
            </w:r>
          </w:p>
        </w:tc>
        <w:tc>
          <w:tcPr>
            <w:tcW w:w="843" w:type="dxa"/>
            <w:tcBorders>
              <w:top w:val="nil"/>
              <w:left w:val="nil"/>
              <w:bottom w:val="single" w:sz="4" w:space="0" w:color="auto"/>
              <w:right w:val="nil"/>
            </w:tcBorders>
            <w:shd w:val="clear" w:color="auto" w:fill="FFFFFF"/>
            <w:vAlign w:val="center"/>
            <w:hideMark/>
          </w:tcPr>
          <w:p w:rsidR="008B50C0" w:rsidRPr="008B50C0" w:rsidP="008B50C0" w14:paraId="7FD8CF6A"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24</w:t>
            </w:r>
          </w:p>
        </w:tc>
        <w:tc>
          <w:tcPr>
            <w:tcW w:w="881" w:type="dxa"/>
            <w:tcBorders>
              <w:top w:val="nil"/>
              <w:left w:val="nil"/>
              <w:bottom w:val="single" w:sz="4" w:space="0" w:color="auto"/>
              <w:right w:val="nil"/>
            </w:tcBorders>
            <w:shd w:val="clear" w:color="auto" w:fill="FFFFFF"/>
          </w:tcPr>
          <w:p w:rsidR="008B50C0" w:rsidRPr="008B50C0" w:rsidP="008B50C0" w14:paraId="3B9A1BA1" w14:textId="77777777">
            <w:pPr>
              <w:spacing w:after="0"/>
              <w:ind w:firstLine="284"/>
              <w:jc w:val="both"/>
              <w:rPr>
                <w:rFonts w:asciiTheme="majorBidi" w:hAnsiTheme="majorBidi" w:cstheme="majorBidi"/>
                <w:szCs w:val="20"/>
              </w:rPr>
            </w:pPr>
          </w:p>
        </w:tc>
        <w:tc>
          <w:tcPr>
            <w:tcW w:w="907" w:type="dxa"/>
            <w:tcBorders>
              <w:top w:val="nil"/>
              <w:left w:val="nil"/>
              <w:bottom w:val="single" w:sz="4" w:space="0" w:color="auto"/>
              <w:right w:val="nil"/>
            </w:tcBorders>
            <w:shd w:val="clear" w:color="auto" w:fill="FFFFFF"/>
          </w:tcPr>
          <w:p w:rsidR="008B50C0" w:rsidRPr="008B50C0" w:rsidP="008B50C0" w14:paraId="2222CEB9" w14:textId="77777777">
            <w:pPr>
              <w:spacing w:after="0"/>
              <w:ind w:firstLine="284"/>
              <w:jc w:val="both"/>
              <w:rPr>
                <w:rFonts w:asciiTheme="majorBidi" w:hAnsiTheme="majorBidi" w:cstheme="majorBidi"/>
                <w:szCs w:val="20"/>
              </w:rPr>
            </w:pPr>
          </w:p>
        </w:tc>
        <w:tc>
          <w:tcPr>
            <w:tcW w:w="843" w:type="dxa"/>
            <w:tcBorders>
              <w:top w:val="nil"/>
              <w:left w:val="nil"/>
              <w:bottom w:val="single" w:sz="4" w:space="0" w:color="auto"/>
              <w:right w:val="nil"/>
            </w:tcBorders>
            <w:shd w:val="clear" w:color="auto" w:fill="FFFFFF"/>
          </w:tcPr>
          <w:p w:rsidR="008B50C0" w:rsidRPr="008B50C0" w:rsidP="008B50C0" w14:paraId="2C6163E1" w14:textId="77777777">
            <w:pPr>
              <w:spacing w:after="0"/>
              <w:ind w:firstLine="284"/>
              <w:jc w:val="both"/>
              <w:rPr>
                <w:rFonts w:asciiTheme="majorBidi" w:hAnsiTheme="majorBidi" w:cstheme="majorBidi"/>
                <w:szCs w:val="20"/>
              </w:rPr>
            </w:pPr>
          </w:p>
        </w:tc>
        <w:tc>
          <w:tcPr>
            <w:tcW w:w="1195" w:type="dxa"/>
            <w:tcBorders>
              <w:top w:val="nil"/>
              <w:left w:val="nil"/>
              <w:bottom w:val="single" w:sz="4" w:space="0" w:color="auto"/>
              <w:right w:val="nil"/>
            </w:tcBorders>
            <w:shd w:val="clear" w:color="auto" w:fill="FFFFFF"/>
          </w:tcPr>
          <w:p w:rsidR="008B50C0" w:rsidRPr="008B50C0" w:rsidP="008B50C0" w14:paraId="2F416BF5" w14:textId="77777777">
            <w:pPr>
              <w:spacing w:after="0"/>
              <w:ind w:firstLine="284"/>
              <w:jc w:val="both"/>
              <w:rPr>
                <w:rFonts w:asciiTheme="majorBidi" w:hAnsiTheme="majorBidi" w:cstheme="majorBidi"/>
                <w:szCs w:val="20"/>
              </w:rPr>
            </w:pPr>
          </w:p>
        </w:tc>
      </w:tr>
    </w:tbl>
    <w:p w:rsidR="008B50C0" w:rsidRPr="008B50C0" w:rsidP="008B50C0" w14:paraId="0F780AD9" w14:textId="77777777">
      <w:pPr>
        <w:spacing w:after="0"/>
        <w:ind w:firstLine="284"/>
        <w:jc w:val="both"/>
        <w:rPr>
          <w:rFonts w:asciiTheme="majorBidi" w:hAnsiTheme="majorBidi" w:cstheme="majorBidi"/>
          <w:szCs w:val="20"/>
        </w:rPr>
      </w:pPr>
    </w:p>
    <w:p w:rsidR="008B50C0" w:rsidRPr="008B50C0" w:rsidP="008B50C0" w14:paraId="0B44D91D"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According to the pre-test outcomes, the mean pre-test score was computed. The pre-test's highest score was 35.00, while the lowest was 28.00, resulting in an average pre-test score of 35.00 with a standard deviation of 5.473.</w:t>
      </w:r>
    </w:p>
    <w:p w:rsidR="008B50C0" w:rsidRPr="008B50C0" w:rsidP="008B50C0" w14:paraId="6B49DC70"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Following seven sessions or treatments using the Community Circle strategy conducted by the researcher, students underwent a proficiency test or post-test. Below, the researcher presents the results of the scores achieved by students during the post-test in table 2.</w:t>
      </w:r>
    </w:p>
    <w:p w:rsidR="008B50C0" w:rsidRPr="008B50C0" w:rsidP="008B50C0" w14:paraId="0B9AA9A7" w14:textId="77777777">
      <w:pPr>
        <w:spacing w:after="0"/>
        <w:ind w:firstLine="284"/>
        <w:jc w:val="center"/>
        <w:rPr>
          <w:rFonts w:asciiTheme="majorBidi" w:hAnsiTheme="majorBidi" w:cstheme="majorBidi"/>
          <w:b/>
          <w:bCs/>
          <w:szCs w:val="20"/>
        </w:rPr>
      </w:pPr>
      <w:r w:rsidRPr="008B50C0">
        <w:rPr>
          <w:rFonts w:asciiTheme="majorBidi" w:hAnsiTheme="majorBidi" w:cstheme="majorBidi"/>
          <w:b/>
          <w:bCs/>
          <w:szCs w:val="20"/>
        </w:rPr>
        <w:t>Table 2. The Summarized of Post-Test</w:t>
      </w:r>
    </w:p>
    <w:tbl>
      <w:tblPr>
        <w:tblW w:w="6075" w:type="dxa"/>
        <w:tblInd w:w="986" w:type="dxa"/>
        <w:tblBorders>
          <w:top w:val="single" w:sz="4" w:space="0" w:color="auto"/>
          <w:bottom w:val="single" w:sz="4" w:space="0" w:color="auto"/>
        </w:tblBorders>
        <w:tblLayout w:type="fixed"/>
        <w:tblCellMar>
          <w:left w:w="0" w:type="dxa"/>
          <w:right w:w="0" w:type="dxa"/>
        </w:tblCellMar>
        <w:tblLook w:val="04A0"/>
      </w:tblPr>
      <w:tblGrid>
        <w:gridCol w:w="1406"/>
        <w:gridCol w:w="843"/>
        <w:gridCol w:w="881"/>
        <w:gridCol w:w="907"/>
        <w:gridCol w:w="843"/>
        <w:gridCol w:w="1195"/>
      </w:tblGrid>
      <w:tr w14:paraId="04A51E01" w14:textId="77777777" w:rsidTr="008B50C0">
        <w:tblPrEx>
          <w:tblW w:w="6075" w:type="dxa"/>
          <w:tblInd w:w="986" w:type="dxa"/>
          <w:tblLayout w:type="fixed"/>
          <w:tblLook w:val="04A0"/>
        </w:tblPrEx>
        <w:trPr>
          <w:cantSplit/>
          <w:trHeight w:val="313"/>
        </w:trPr>
        <w:tc>
          <w:tcPr>
            <w:tcW w:w="1406" w:type="dxa"/>
            <w:tcBorders>
              <w:top w:val="single" w:sz="4" w:space="0" w:color="auto"/>
              <w:left w:val="nil"/>
              <w:bottom w:val="nil"/>
              <w:right w:val="nil"/>
            </w:tcBorders>
            <w:shd w:val="clear" w:color="auto" w:fill="FFFFFF"/>
          </w:tcPr>
          <w:p w:rsidR="008B50C0" w:rsidRPr="008B50C0" w:rsidP="008B50C0" w14:paraId="476B33F9" w14:textId="77777777">
            <w:pPr>
              <w:spacing w:after="0"/>
              <w:ind w:firstLine="284"/>
              <w:jc w:val="both"/>
              <w:rPr>
                <w:rFonts w:asciiTheme="majorBidi" w:hAnsiTheme="majorBidi" w:cstheme="majorBidi"/>
                <w:szCs w:val="20"/>
              </w:rPr>
            </w:pPr>
          </w:p>
        </w:tc>
        <w:tc>
          <w:tcPr>
            <w:tcW w:w="843" w:type="dxa"/>
            <w:tcBorders>
              <w:top w:val="single" w:sz="4" w:space="0" w:color="auto"/>
              <w:left w:val="nil"/>
              <w:bottom w:val="nil"/>
              <w:right w:val="nil"/>
            </w:tcBorders>
            <w:shd w:val="clear" w:color="auto" w:fill="FFFFFF"/>
            <w:hideMark/>
          </w:tcPr>
          <w:p w:rsidR="008B50C0" w:rsidRPr="008B50C0" w:rsidP="008B50C0" w14:paraId="76B5BC28"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N</w:t>
            </w:r>
          </w:p>
        </w:tc>
        <w:tc>
          <w:tcPr>
            <w:tcW w:w="881" w:type="dxa"/>
            <w:tcBorders>
              <w:top w:val="single" w:sz="4" w:space="0" w:color="auto"/>
              <w:left w:val="nil"/>
              <w:bottom w:val="nil"/>
              <w:right w:val="nil"/>
            </w:tcBorders>
            <w:shd w:val="clear" w:color="auto" w:fill="FFFFFF"/>
            <w:hideMark/>
          </w:tcPr>
          <w:p w:rsidR="008B50C0" w:rsidRPr="008B50C0" w:rsidP="008B50C0" w14:paraId="35004F88"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Minimum</w:t>
            </w:r>
          </w:p>
        </w:tc>
        <w:tc>
          <w:tcPr>
            <w:tcW w:w="907" w:type="dxa"/>
            <w:tcBorders>
              <w:top w:val="single" w:sz="4" w:space="0" w:color="auto"/>
              <w:left w:val="nil"/>
              <w:bottom w:val="nil"/>
              <w:right w:val="nil"/>
            </w:tcBorders>
            <w:shd w:val="clear" w:color="auto" w:fill="FFFFFF"/>
            <w:hideMark/>
          </w:tcPr>
          <w:p w:rsidR="008B50C0" w:rsidRPr="008B50C0" w:rsidP="008B50C0" w14:paraId="67F7D7C4"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Maximum</w:t>
            </w:r>
          </w:p>
        </w:tc>
        <w:tc>
          <w:tcPr>
            <w:tcW w:w="843" w:type="dxa"/>
            <w:tcBorders>
              <w:top w:val="single" w:sz="4" w:space="0" w:color="auto"/>
              <w:left w:val="nil"/>
              <w:bottom w:val="nil"/>
              <w:right w:val="nil"/>
            </w:tcBorders>
            <w:shd w:val="clear" w:color="auto" w:fill="FFFFFF"/>
            <w:hideMark/>
          </w:tcPr>
          <w:p w:rsidR="008B50C0" w:rsidRPr="008B50C0" w:rsidP="008B50C0" w14:paraId="2A1D5F5C"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Mean</w:t>
            </w:r>
          </w:p>
        </w:tc>
        <w:tc>
          <w:tcPr>
            <w:tcW w:w="1195" w:type="dxa"/>
            <w:tcBorders>
              <w:top w:val="single" w:sz="4" w:space="0" w:color="auto"/>
              <w:left w:val="nil"/>
              <w:bottom w:val="nil"/>
              <w:right w:val="nil"/>
            </w:tcBorders>
            <w:shd w:val="clear" w:color="auto" w:fill="FFFFFF"/>
            <w:hideMark/>
          </w:tcPr>
          <w:p w:rsidR="008B50C0" w:rsidRPr="008B50C0" w:rsidP="008B50C0" w14:paraId="43E00824"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Std. Deviation</w:t>
            </w:r>
          </w:p>
        </w:tc>
      </w:tr>
      <w:tr w14:paraId="6A27FA21" w14:textId="77777777" w:rsidTr="008B50C0">
        <w:tblPrEx>
          <w:tblW w:w="6075" w:type="dxa"/>
          <w:tblInd w:w="986" w:type="dxa"/>
          <w:tblLayout w:type="fixed"/>
          <w:tblLook w:val="04A0"/>
        </w:tblPrEx>
        <w:trPr>
          <w:cantSplit/>
          <w:trHeight w:val="313"/>
        </w:trPr>
        <w:tc>
          <w:tcPr>
            <w:tcW w:w="1406" w:type="dxa"/>
            <w:tcBorders>
              <w:top w:val="nil"/>
              <w:left w:val="nil"/>
              <w:bottom w:val="nil"/>
              <w:right w:val="nil"/>
            </w:tcBorders>
            <w:shd w:val="clear" w:color="auto" w:fill="FFFFFF"/>
            <w:vAlign w:val="center"/>
            <w:hideMark/>
          </w:tcPr>
          <w:p w:rsidR="008B50C0" w:rsidRPr="008B50C0" w:rsidP="008B50C0" w14:paraId="4D7CC66F"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post test</w:t>
            </w:r>
          </w:p>
        </w:tc>
        <w:tc>
          <w:tcPr>
            <w:tcW w:w="843" w:type="dxa"/>
            <w:tcBorders>
              <w:top w:val="nil"/>
              <w:left w:val="nil"/>
              <w:bottom w:val="nil"/>
              <w:right w:val="nil"/>
            </w:tcBorders>
            <w:shd w:val="clear" w:color="auto" w:fill="FFFFFF"/>
            <w:vAlign w:val="center"/>
            <w:hideMark/>
          </w:tcPr>
          <w:p w:rsidR="008B50C0" w:rsidRPr="008B50C0" w:rsidP="008B50C0" w14:paraId="46D56166"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24</w:t>
            </w:r>
          </w:p>
        </w:tc>
        <w:tc>
          <w:tcPr>
            <w:tcW w:w="881" w:type="dxa"/>
            <w:tcBorders>
              <w:top w:val="nil"/>
              <w:left w:val="nil"/>
              <w:bottom w:val="nil"/>
              <w:right w:val="nil"/>
            </w:tcBorders>
            <w:shd w:val="clear" w:color="auto" w:fill="FFFFFF"/>
            <w:vAlign w:val="center"/>
            <w:hideMark/>
          </w:tcPr>
          <w:p w:rsidR="008B50C0" w:rsidRPr="008B50C0" w:rsidP="008B50C0" w14:paraId="03064E11"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52</w:t>
            </w:r>
          </w:p>
        </w:tc>
        <w:tc>
          <w:tcPr>
            <w:tcW w:w="907" w:type="dxa"/>
            <w:tcBorders>
              <w:top w:val="nil"/>
              <w:left w:val="nil"/>
              <w:bottom w:val="nil"/>
              <w:right w:val="nil"/>
            </w:tcBorders>
            <w:shd w:val="clear" w:color="auto" w:fill="FFFFFF"/>
            <w:vAlign w:val="center"/>
            <w:hideMark/>
          </w:tcPr>
          <w:p w:rsidR="008B50C0" w:rsidRPr="008B50C0" w:rsidP="008B50C0" w14:paraId="23ED84A5"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80</w:t>
            </w:r>
          </w:p>
        </w:tc>
        <w:tc>
          <w:tcPr>
            <w:tcW w:w="843" w:type="dxa"/>
            <w:tcBorders>
              <w:top w:val="nil"/>
              <w:left w:val="nil"/>
              <w:bottom w:val="nil"/>
              <w:right w:val="nil"/>
            </w:tcBorders>
            <w:shd w:val="clear" w:color="auto" w:fill="FFFFFF"/>
            <w:vAlign w:val="center"/>
            <w:hideMark/>
          </w:tcPr>
          <w:p w:rsidR="008B50C0" w:rsidRPr="008B50C0" w:rsidP="008B50C0" w14:paraId="6A0676B2"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70.00</w:t>
            </w:r>
          </w:p>
        </w:tc>
        <w:tc>
          <w:tcPr>
            <w:tcW w:w="1195" w:type="dxa"/>
            <w:tcBorders>
              <w:top w:val="nil"/>
              <w:left w:val="nil"/>
              <w:bottom w:val="nil"/>
              <w:right w:val="nil"/>
            </w:tcBorders>
            <w:shd w:val="clear" w:color="auto" w:fill="FFFFFF"/>
            <w:vAlign w:val="center"/>
            <w:hideMark/>
          </w:tcPr>
          <w:p w:rsidR="008B50C0" w:rsidRPr="008B50C0" w:rsidP="008B50C0" w14:paraId="150489D2"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9.869</w:t>
            </w:r>
          </w:p>
        </w:tc>
      </w:tr>
      <w:tr w14:paraId="52772913" w14:textId="77777777" w:rsidTr="008B50C0">
        <w:tblPrEx>
          <w:tblW w:w="6075" w:type="dxa"/>
          <w:tblInd w:w="986" w:type="dxa"/>
          <w:tblLayout w:type="fixed"/>
          <w:tblLook w:val="04A0"/>
        </w:tblPrEx>
        <w:trPr>
          <w:cantSplit/>
          <w:trHeight w:val="326"/>
        </w:trPr>
        <w:tc>
          <w:tcPr>
            <w:tcW w:w="1406" w:type="dxa"/>
            <w:tcBorders>
              <w:top w:val="nil"/>
              <w:left w:val="nil"/>
              <w:bottom w:val="single" w:sz="4" w:space="0" w:color="auto"/>
              <w:right w:val="nil"/>
            </w:tcBorders>
            <w:shd w:val="clear" w:color="auto" w:fill="FFFFFF"/>
            <w:vAlign w:val="center"/>
            <w:hideMark/>
          </w:tcPr>
          <w:p w:rsidR="008B50C0" w:rsidRPr="008B50C0" w:rsidP="008B50C0" w14:paraId="1AB3B0B6"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Valid N (listwise)</w:t>
            </w:r>
          </w:p>
        </w:tc>
        <w:tc>
          <w:tcPr>
            <w:tcW w:w="843" w:type="dxa"/>
            <w:tcBorders>
              <w:top w:val="nil"/>
              <w:left w:val="nil"/>
              <w:bottom w:val="single" w:sz="4" w:space="0" w:color="auto"/>
              <w:right w:val="nil"/>
            </w:tcBorders>
            <w:shd w:val="clear" w:color="auto" w:fill="FFFFFF"/>
            <w:vAlign w:val="center"/>
            <w:hideMark/>
          </w:tcPr>
          <w:p w:rsidR="008B50C0" w:rsidRPr="008B50C0" w:rsidP="008B50C0" w14:paraId="7A8EFF18"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24</w:t>
            </w:r>
          </w:p>
        </w:tc>
        <w:tc>
          <w:tcPr>
            <w:tcW w:w="881" w:type="dxa"/>
            <w:tcBorders>
              <w:top w:val="nil"/>
              <w:left w:val="nil"/>
              <w:bottom w:val="single" w:sz="4" w:space="0" w:color="auto"/>
              <w:right w:val="nil"/>
            </w:tcBorders>
            <w:shd w:val="clear" w:color="auto" w:fill="FFFFFF"/>
          </w:tcPr>
          <w:p w:rsidR="008B50C0" w:rsidRPr="008B50C0" w:rsidP="008B50C0" w14:paraId="5ADD38C6" w14:textId="77777777">
            <w:pPr>
              <w:spacing w:after="0"/>
              <w:ind w:firstLine="284"/>
              <w:jc w:val="both"/>
              <w:rPr>
                <w:rFonts w:asciiTheme="majorBidi" w:hAnsiTheme="majorBidi" w:cstheme="majorBidi"/>
                <w:szCs w:val="20"/>
              </w:rPr>
            </w:pPr>
          </w:p>
        </w:tc>
        <w:tc>
          <w:tcPr>
            <w:tcW w:w="907" w:type="dxa"/>
            <w:tcBorders>
              <w:top w:val="nil"/>
              <w:left w:val="nil"/>
              <w:bottom w:val="single" w:sz="4" w:space="0" w:color="auto"/>
              <w:right w:val="nil"/>
            </w:tcBorders>
            <w:shd w:val="clear" w:color="auto" w:fill="FFFFFF"/>
          </w:tcPr>
          <w:p w:rsidR="008B50C0" w:rsidRPr="008B50C0" w:rsidP="008B50C0" w14:paraId="73D7E3E9" w14:textId="77777777">
            <w:pPr>
              <w:spacing w:after="0"/>
              <w:ind w:firstLine="284"/>
              <w:jc w:val="both"/>
              <w:rPr>
                <w:rFonts w:asciiTheme="majorBidi" w:hAnsiTheme="majorBidi" w:cstheme="majorBidi"/>
                <w:szCs w:val="20"/>
              </w:rPr>
            </w:pPr>
          </w:p>
        </w:tc>
        <w:tc>
          <w:tcPr>
            <w:tcW w:w="843" w:type="dxa"/>
            <w:tcBorders>
              <w:top w:val="nil"/>
              <w:left w:val="nil"/>
              <w:bottom w:val="single" w:sz="4" w:space="0" w:color="auto"/>
              <w:right w:val="nil"/>
            </w:tcBorders>
            <w:shd w:val="clear" w:color="auto" w:fill="FFFFFF"/>
          </w:tcPr>
          <w:p w:rsidR="008B50C0" w:rsidRPr="008B50C0" w:rsidP="008B50C0" w14:paraId="3C4F55A2" w14:textId="77777777">
            <w:pPr>
              <w:spacing w:after="0"/>
              <w:ind w:firstLine="284"/>
              <w:jc w:val="both"/>
              <w:rPr>
                <w:rFonts w:asciiTheme="majorBidi" w:hAnsiTheme="majorBidi" w:cstheme="majorBidi"/>
                <w:szCs w:val="20"/>
              </w:rPr>
            </w:pPr>
          </w:p>
        </w:tc>
        <w:tc>
          <w:tcPr>
            <w:tcW w:w="1195" w:type="dxa"/>
            <w:tcBorders>
              <w:top w:val="nil"/>
              <w:left w:val="nil"/>
              <w:bottom w:val="single" w:sz="4" w:space="0" w:color="auto"/>
              <w:right w:val="nil"/>
            </w:tcBorders>
            <w:shd w:val="clear" w:color="auto" w:fill="FFFFFF"/>
          </w:tcPr>
          <w:p w:rsidR="008B50C0" w:rsidRPr="008B50C0" w:rsidP="008B50C0" w14:paraId="4A950895" w14:textId="77777777">
            <w:pPr>
              <w:spacing w:after="0"/>
              <w:ind w:firstLine="284"/>
              <w:jc w:val="both"/>
              <w:rPr>
                <w:rFonts w:asciiTheme="majorBidi" w:hAnsiTheme="majorBidi" w:cstheme="majorBidi"/>
                <w:szCs w:val="20"/>
              </w:rPr>
            </w:pPr>
          </w:p>
        </w:tc>
      </w:tr>
    </w:tbl>
    <w:p w:rsidR="008B50C0" w:rsidRPr="008B50C0" w:rsidP="008B50C0" w14:paraId="406F9BCA" w14:textId="77777777">
      <w:pPr>
        <w:spacing w:after="0"/>
        <w:ind w:firstLine="284"/>
        <w:jc w:val="both"/>
        <w:rPr>
          <w:rFonts w:asciiTheme="majorBidi" w:hAnsiTheme="majorBidi" w:cstheme="majorBidi"/>
          <w:szCs w:val="20"/>
        </w:rPr>
      </w:pPr>
    </w:p>
    <w:p w:rsidR="008B50C0" w:rsidRPr="008B50C0" w:rsidP="008B50C0" w14:paraId="14B85EB7"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According to the Post-Test outcomes, the mean Post-Test score was computed. The Post-test's highest score was 80.00, while the lowest was 48.00, resulting in an average Post-Test score of 70.00 with a standard deviation of 9.869.</w:t>
      </w:r>
    </w:p>
    <w:p w:rsidR="008B50C0" w:rsidRPr="008B50C0" w:rsidP="008B50C0" w14:paraId="00164D27"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 xml:space="preserve">In this research, the researcher employed a sample of 24 students per class to assess the impact of treatment on students' speaking abilities using the Community Circle Strategy. The two tables above indicated the average score for students in the post-test was 70.00, compared to 35.00 in the pre-test. This discrepancy illustrates a significant variation in mean scores between the two assessments, with the post-test mean surpassing that of the pre-test. </w:t>
      </w:r>
      <w:r w:rsidRPr="008B50C0">
        <w:rPr>
          <w:rFonts w:asciiTheme="majorBidi" w:hAnsiTheme="majorBidi" w:cstheme="majorBidi"/>
          <w:szCs w:val="20"/>
        </w:rPr>
        <w:t>This_outcome</w:t>
      </w:r>
      <w:r w:rsidRPr="008B50C0">
        <w:rPr>
          <w:rFonts w:asciiTheme="majorBidi" w:hAnsiTheme="majorBidi" w:cstheme="majorBidi"/>
          <w:szCs w:val="20"/>
        </w:rPr>
        <w:t xml:space="preserve"> indicates a noteworthy difference in the class's average performance.</w:t>
      </w:r>
    </w:p>
    <w:p w:rsidR="008B50C0" w:rsidRPr="008B50C0" w:rsidP="008B50C0" w14:paraId="729A8D42" w14:textId="77777777">
      <w:pPr>
        <w:spacing w:after="0"/>
        <w:ind w:firstLine="284"/>
        <w:jc w:val="center"/>
        <w:rPr>
          <w:rFonts w:asciiTheme="majorBidi" w:hAnsiTheme="majorBidi" w:cstheme="majorBidi"/>
          <w:b/>
          <w:bCs/>
          <w:szCs w:val="20"/>
        </w:rPr>
      </w:pPr>
      <w:r w:rsidRPr="008B50C0">
        <w:rPr>
          <w:rFonts w:asciiTheme="majorBidi" w:hAnsiTheme="majorBidi" w:cstheme="majorBidi"/>
          <w:b/>
          <w:bCs/>
          <w:szCs w:val="20"/>
        </w:rPr>
        <w:t>Figure 1.</w:t>
      </w:r>
      <w:r w:rsidRPr="008B50C0">
        <w:rPr>
          <w:rFonts w:asciiTheme="majorBidi" w:hAnsiTheme="majorBidi" w:cstheme="majorBidi"/>
          <w:szCs w:val="20"/>
        </w:rPr>
        <w:t xml:space="preserve"> </w:t>
      </w:r>
      <w:r w:rsidRPr="008B50C0">
        <w:rPr>
          <w:rFonts w:asciiTheme="majorBidi" w:hAnsiTheme="majorBidi" w:cstheme="majorBidi"/>
          <w:b/>
          <w:bCs/>
          <w:szCs w:val="20"/>
        </w:rPr>
        <w:t>Comparison between Mean Pre-Test and Post-Test</w:t>
      </w:r>
    </w:p>
    <w:p w:rsidR="008B50C0" w:rsidRPr="008B50C0" w:rsidP="008B50C0" w14:paraId="2E2A10BE" w14:textId="0800E7F5">
      <w:pPr>
        <w:spacing w:after="0"/>
        <w:ind w:left="1134"/>
        <w:jc w:val="both"/>
        <w:rPr>
          <w:rFonts w:asciiTheme="majorBidi" w:hAnsiTheme="majorBidi" w:cstheme="majorBidi"/>
          <w:szCs w:val="20"/>
        </w:rPr>
      </w:pPr>
      <w:r w:rsidRPr="008B50C0">
        <w:rPr>
          <w:rFonts w:asciiTheme="majorBidi" w:hAnsiTheme="majorBidi" w:cstheme="majorBidi"/>
          <w:noProof/>
          <w:szCs w:val="20"/>
        </w:rPr>
        <w:drawing>
          <wp:inline distT="0" distB="0" distL="0" distR="0">
            <wp:extent cx="3629025" cy="1819275"/>
            <wp:effectExtent l="0" t="0" r="9525" b="9525"/>
            <wp:docPr id="524842077" name="Chart 9">
              <a:extLst xmlns:a="http://schemas.openxmlformats.org/drawingml/2006/main">
                <a:ext xmlns:a="http://schemas.openxmlformats.org/drawingml/2006/main" uri="{FF2B5EF4-FFF2-40B4-BE49-F238E27FC236}">
                  <a16:creationId xmlns:a16="http://schemas.microsoft.com/office/drawing/2014/main" id="{0AD74F5D-0463-7C8F-DDAD-A27FCD5CE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50C0" w:rsidRPr="008B50C0" w:rsidP="008B50C0" w14:paraId="1ED12291"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 xml:space="preserve">Based on the test results, it was found that the Community Circle Strategy is not very effective in improving English speaking skills among Grade Ten students at MA Al Balagh </w:t>
      </w:r>
      <w:r w:rsidRPr="008B50C0">
        <w:rPr>
          <w:rFonts w:asciiTheme="majorBidi" w:hAnsiTheme="majorBidi" w:cstheme="majorBidi"/>
          <w:szCs w:val="20"/>
        </w:rPr>
        <w:t>Bulutigo</w:t>
      </w:r>
      <w:r w:rsidRPr="008B50C0">
        <w:rPr>
          <w:rFonts w:asciiTheme="majorBidi" w:hAnsiTheme="majorBidi" w:cstheme="majorBidi"/>
          <w:szCs w:val="20"/>
        </w:rPr>
        <w:t>. The experimental class showed only a small increase from the Pre-Test to the Post-Test, with the average score going up minimally (35.00 &lt; 70.00). The table below displays the average scores of the tenth-grade students before and after the test, calculated using SPSS version 25.</w:t>
      </w:r>
    </w:p>
    <w:p w:rsidR="008B50C0" w:rsidRPr="008B50C0" w:rsidP="008B50C0" w14:paraId="5827CA79"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Before proceeding with the t-test to assess the research hypothesis, a normality test was performed to ascertain the distribution of data from the tenth-grade class. The Kolmogorov-Smirnov test was employed by the researcher, aided by SPSS software for data analysis across both groups. A significance value above 0.05 indicates normal distribution, A value below 0.05 indicates non-normal distribution. The data presented that the results of testing is normality distributed:</w:t>
      </w:r>
    </w:p>
    <w:p w:rsidR="008B50C0" w:rsidRPr="008B50C0" w:rsidP="008B50C0" w14:paraId="098F6DD6" w14:textId="77777777">
      <w:pPr>
        <w:spacing w:after="0"/>
        <w:ind w:firstLine="284"/>
        <w:jc w:val="center"/>
        <w:rPr>
          <w:rFonts w:asciiTheme="majorBidi" w:hAnsiTheme="majorBidi" w:cstheme="majorBidi"/>
          <w:b/>
          <w:bCs/>
          <w:szCs w:val="20"/>
        </w:rPr>
      </w:pPr>
      <w:r w:rsidRPr="008B50C0">
        <w:rPr>
          <w:rFonts w:asciiTheme="majorBidi" w:hAnsiTheme="majorBidi" w:cstheme="majorBidi"/>
          <w:b/>
          <w:bCs/>
          <w:szCs w:val="20"/>
        </w:rPr>
        <w:t>Table 3. Normality Data Test</w:t>
      </w:r>
    </w:p>
    <w:tbl>
      <w:tblPr>
        <w:tblW w:w="7110" w:type="dxa"/>
        <w:tblInd w:w="720" w:type="dxa"/>
        <w:tblBorders>
          <w:top w:val="single" w:sz="4" w:space="0" w:color="auto"/>
          <w:bottom w:val="single" w:sz="4" w:space="0" w:color="auto"/>
        </w:tblBorders>
        <w:tblLayout w:type="fixed"/>
        <w:tblCellMar>
          <w:left w:w="0" w:type="dxa"/>
          <w:right w:w="0" w:type="dxa"/>
        </w:tblCellMar>
        <w:tblLook w:val="04A0"/>
      </w:tblPr>
      <w:tblGrid>
        <w:gridCol w:w="1676"/>
        <w:gridCol w:w="1409"/>
        <w:gridCol w:w="4025"/>
      </w:tblGrid>
      <w:tr w14:paraId="55B552A6" w14:textId="77777777" w:rsidTr="008B50C0">
        <w:tblPrEx>
          <w:tblW w:w="7110" w:type="dxa"/>
          <w:tblInd w:w="720" w:type="dxa"/>
          <w:tblLayout w:type="fixed"/>
          <w:tblLook w:val="04A0"/>
        </w:tblPrEx>
        <w:trPr>
          <w:cantSplit/>
        </w:trPr>
        <w:tc>
          <w:tcPr>
            <w:tcW w:w="7110" w:type="dxa"/>
            <w:gridSpan w:val="3"/>
            <w:tcBorders>
              <w:top w:val="single" w:sz="4" w:space="0" w:color="auto"/>
              <w:left w:val="nil"/>
              <w:bottom w:val="nil"/>
              <w:right w:val="nil"/>
            </w:tcBorders>
            <w:shd w:val="clear" w:color="auto" w:fill="FFFFFF"/>
            <w:hideMark/>
          </w:tcPr>
          <w:p w:rsidR="008B50C0" w:rsidRPr="008B50C0" w:rsidP="008B50C0" w14:paraId="5E75511B" w14:textId="77777777">
            <w:pPr>
              <w:spacing w:after="0"/>
              <w:ind w:firstLine="284"/>
              <w:jc w:val="both"/>
              <w:rPr>
                <w:rFonts w:asciiTheme="majorBidi" w:hAnsiTheme="majorBidi" w:cstheme="majorBidi"/>
                <w:szCs w:val="20"/>
              </w:rPr>
            </w:pPr>
            <w:r w:rsidRPr="008B50C0">
              <w:rPr>
                <w:rFonts w:asciiTheme="majorBidi" w:hAnsiTheme="majorBidi" w:cstheme="majorBidi"/>
                <w:b/>
                <w:bCs/>
                <w:szCs w:val="20"/>
              </w:rPr>
              <w:t>One-Sample Kolmogorov-Smirnov Test</w:t>
            </w:r>
          </w:p>
        </w:tc>
      </w:tr>
      <w:tr w14:paraId="121B88D8" w14:textId="77777777" w:rsidTr="008B50C0">
        <w:tblPrEx>
          <w:tblW w:w="7110" w:type="dxa"/>
          <w:tblInd w:w="720" w:type="dxa"/>
          <w:tblLayout w:type="fixed"/>
          <w:tblLook w:val="04A0"/>
        </w:tblPrEx>
        <w:trPr>
          <w:cantSplit/>
        </w:trPr>
        <w:tc>
          <w:tcPr>
            <w:tcW w:w="3085" w:type="dxa"/>
            <w:gridSpan w:val="2"/>
            <w:tcBorders>
              <w:top w:val="nil"/>
              <w:left w:val="nil"/>
              <w:bottom w:val="nil"/>
              <w:right w:val="nil"/>
            </w:tcBorders>
            <w:shd w:val="clear" w:color="auto" w:fill="FFFFFF"/>
          </w:tcPr>
          <w:p w:rsidR="008B50C0" w:rsidRPr="008B50C0" w:rsidP="008B50C0" w14:paraId="28307BFA" w14:textId="77777777">
            <w:pPr>
              <w:spacing w:after="0"/>
              <w:ind w:firstLine="284"/>
              <w:jc w:val="both"/>
              <w:rPr>
                <w:rFonts w:asciiTheme="majorBidi" w:hAnsiTheme="majorBidi" w:cstheme="majorBidi"/>
                <w:szCs w:val="20"/>
              </w:rPr>
            </w:pPr>
          </w:p>
        </w:tc>
        <w:tc>
          <w:tcPr>
            <w:tcW w:w="4025" w:type="dxa"/>
            <w:tcBorders>
              <w:top w:val="nil"/>
              <w:left w:val="nil"/>
              <w:bottom w:val="nil"/>
              <w:right w:val="nil"/>
            </w:tcBorders>
            <w:shd w:val="clear" w:color="auto" w:fill="FFFFFF"/>
            <w:hideMark/>
          </w:tcPr>
          <w:p w:rsidR="008B50C0" w:rsidRPr="008B50C0" w:rsidP="008B50C0" w14:paraId="6710FF35"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Unstandardized Residual</w:t>
            </w:r>
          </w:p>
        </w:tc>
      </w:tr>
      <w:tr w14:paraId="15ECFA76" w14:textId="77777777" w:rsidTr="008B50C0">
        <w:tblPrEx>
          <w:tblW w:w="7110" w:type="dxa"/>
          <w:tblInd w:w="720" w:type="dxa"/>
          <w:tblLayout w:type="fixed"/>
          <w:tblLook w:val="04A0"/>
        </w:tblPrEx>
        <w:trPr>
          <w:cantSplit/>
        </w:trPr>
        <w:tc>
          <w:tcPr>
            <w:tcW w:w="3085" w:type="dxa"/>
            <w:gridSpan w:val="2"/>
            <w:tcBorders>
              <w:top w:val="nil"/>
              <w:left w:val="nil"/>
              <w:bottom w:val="nil"/>
              <w:right w:val="nil"/>
            </w:tcBorders>
            <w:shd w:val="clear" w:color="auto" w:fill="FFFFFF"/>
            <w:vAlign w:val="center"/>
            <w:hideMark/>
          </w:tcPr>
          <w:p w:rsidR="008B50C0" w:rsidRPr="008B50C0" w:rsidP="008B50C0" w14:paraId="455D9239"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N</w:t>
            </w:r>
          </w:p>
        </w:tc>
        <w:tc>
          <w:tcPr>
            <w:tcW w:w="4025" w:type="dxa"/>
            <w:tcBorders>
              <w:top w:val="nil"/>
              <w:left w:val="nil"/>
              <w:bottom w:val="nil"/>
              <w:right w:val="nil"/>
            </w:tcBorders>
            <w:shd w:val="clear" w:color="auto" w:fill="FFFFFF"/>
            <w:vAlign w:val="center"/>
            <w:hideMark/>
          </w:tcPr>
          <w:p w:rsidR="008B50C0" w:rsidRPr="008B50C0" w:rsidP="008B50C0" w14:paraId="31BF60AF"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24</w:t>
            </w:r>
          </w:p>
        </w:tc>
      </w:tr>
      <w:tr w14:paraId="5E05C2EC" w14:textId="77777777" w:rsidTr="008B50C0">
        <w:tblPrEx>
          <w:tblW w:w="7110" w:type="dxa"/>
          <w:tblInd w:w="720" w:type="dxa"/>
          <w:tblLayout w:type="fixed"/>
          <w:tblLook w:val="04A0"/>
        </w:tblPrEx>
        <w:trPr>
          <w:cantSplit/>
        </w:trPr>
        <w:tc>
          <w:tcPr>
            <w:tcW w:w="1676" w:type="dxa"/>
            <w:vMerge w:val="restart"/>
            <w:tcBorders>
              <w:top w:val="nil"/>
              <w:left w:val="nil"/>
              <w:bottom w:val="nil"/>
              <w:right w:val="nil"/>
            </w:tcBorders>
            <w:shd w:val="clear" w:color="auto" w:fill="FFFFFF"/>
            <w:vAlign w:val="center"/>
            <w:hideMark/>
          </w:tcPr>
          <w:p w:rsidR="008B50C0" w:rsidRPr="008B50C0" w:rsidP="008B50C0" w14:paraId="3F512F06"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 xml:space="preserve">Normal </w:t>
            </w:r>
            <w:r w:rsidRPr="008B50C0">
              <w:rPr>
                <w:rFonts w:asciiTheme="majorBidi" w:hAnsiTheme="majorBidi" w:cstheme="majorBidi"/>
                <w:szCs w:val="20"/>
              </w:rPr>
              <w:t>Parameters</w:t>
            </w:r>
            <w:r w:rsidRPr="008B50C0">
              <w:rPr>
                <w:rFonts w:asciiTheme="majorBidi" w:hAnsiTheme="majorBidi" w:cstheme="majorBidi"/>
                <w:szCs w:val="20"/>
                <w:vertAlign w:val="superscript"/>
              </w:rPr>
              <w:t>a,b</w:t>
            </w:r>
          </w:p>
        </w:tc>
        <w:tc>
          <w:tcPr>
            <w:tcW w:w="1409" w:type="dxa"/>
            <w:tcBorders>
              <w:top w:val="nil"/>
              <w:left w:val="nil"/>
              <w:bottom w:val="nil"/>
              <w:right w:val="nil"/>
            </w:tcBorders>
            <w:shd w:val="clear" w:color="auto" w:fill="FFFFFF"/>
            <w:vAlign w:val="center"/>
            <w:hideMark/>
          </w:tcPr>
          <w:p w:rsidR="008B50C0" w:rsidRPr="008B50C0" w:rsidP="008B50C0" w14:paraId="2885CED3"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Mean</w:t>
            </w:r>
          </w:p>
        </w:tc>
        <w:tc>
          <w:tcPr>
            <w:tcW w:w="4025" w:type="dxa"/>
            <w:tcBorders>
              <w:top w:val="nil"/>
              <w:left w:val="nil"/>
              <w:bottom w:val="nil"/>
              <w:right w:val="nil"/>
            </w:tcBorders>
            <w:shd w:val="clear" w:color="auto" w:fill="FFFFFF"/>
            <w:vAlign w:val="center"/>
            <w:hideMark/>
          </w:tcPr>
          <w:p w:rsidR="008B50C0" w:rsidRPr="008B50C0" w:rsidP="008B50C0" w14:paraId="305C3FBB"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0E-7</w:t>
            </w:r>
          </w:p>
        </w:tc>
      </w:tr>
      <w:tr w14:paraId="0D67AB3D" w14:textId="77777777" w:rsidTr="008B50C0">
        <w:tblPrEx>
          <w:tblW w:w="7110" w:type="dxa"/>
          <w:tblInd w:w="720" w:type="dxa"/>
          <w:tblLayout w:type="fixed"/>
          <w:tblLook w:val="04A0"/>
        </w:tblPrEx>
        <w:trPr>
          <w:cantSplit/>
        </w:trPr>
        <w:tc>
          <w:tcPr>
            <w:tcW w:w="7110" w:type="dxa"/>
            <w:vMerge/>
            <w:tcBorders>
              <w:top w:val="nil"/>
              <w:left w:val="nil"/>
              <w:bottom w:val="nil"/>
              <w:right w:val="nil"/>
            </w:tcBorders>
            <w:vAlign w:val="center"/>
            <w:hideMark/>
          </w:tcPr>
          <w:p w:rsidR="008B50C0" w:rsidRPr="008B50C0" w:rsidP="008B50C0" w14:paraId="1E13B758" w14:textId="77777777">
            <w:pPr>
              <w:spacing w:after="0"/>
              <w:ind w:firstLine="284"/>
              <w:jc w:val="both"/>
              <w:rPr>
                <w:rFonts w:asciiTheme="majorBidi" w:hAnsiTheme="majorBidi" w:cstheme="majorBidi"/>
                <w:szCs w:val="20"/>
              </w:rPr>
            </w:pPr>
          </w:p>
        </w:tc>
        <w:tc>
          <w:tcPr>
            <w:tcW w:w="1409" w:type="dxa"/>
            <w:tcBorders>
              <w:top w:val="nil"/>
              <w:left w:val="nil"/>
              <w:bottom w:val="nil"/>
              <w:right w:val="nil"/>
            </w:tcBorders>
            <w:shd w:val="clear" w:color="auto" w:fill="FFFFFF"/>
            <w:vAlign w:val="center"/>
            <w:hideMark/>
          </w:tcPr>
          <w:p w:rsidR="008B50C0" w:rsidRPr="008B50C0" w:rsidP="008B50C0" w14:paraId="756D7C1D"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Std. Deviation</w:t>
            </w:r>
          </w:p>
        </w:tc>
        <w:tc>
          <w:tcPr>
            <w:tcW w:w="4025" w:type="dxa"/>
            <w:tcBorders>
              <w:top w:val="nil"/>
              <w:left w:val="nil"/>
              <w:bottom w:val="nil"/>
              <w:right w:val="nil"/>
            </w:tcBorders>
            <w:shd w:val="clear" w:color="auto" w:fill="FFFFFF"/>
            <w:vAlign w:val="center"/>
            <w:hideMark/>
          </w:tcPr>
          <w:p w:rsidR="008B50C0" w:rsidRPr="008B50C0" w:rsidP="008B50C0" w14:paraId="043F59E0"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9.80129956</w:t>
            </w:r>
          </w:p>
        </w:tc>
      </w:tr>
      <w:tr w14:paraId="5AD2CD48" w14:textId="77777777" w:rsidTr="008B50C0">
        <w:tblPrEx>
          <w:tblW w:w="7110" w:type="dxa"/>
          <w:tblInd w:w="720" w:type="dxa"/>
          <w:tblLayout w:type="fixed"/>
          <w:tblLook w:val="04A0"/>
        </w:tblPrEx>
        <w:trPr>
          <w:cantSplit/>
        </w:trPr>
        <w:tc>
          <w:tcPr>
            <w:tcW w:w="1676" w:type="dxa"/>
            <w:vMerge w:val="restart"/>
            <w:tcBorders>
              <w:top w:val="nil"/>
              <w:left w:val="nil"/>
              <w:bottom w:val="nil"/>
              <w:right w:val="nil"/>
            </w:tcBorders>
            <w:shd w:val="clear" w:color="auto" w:fill="FFFFFF"/>
            <w:vAlign w:val="center"/>
            <w:hideMark/>
          </w:tcPr>
          <w:p w:rsidR="008B50C0" w:rsidRPr="008B50C0" w:rsidP="008B50C0" w14:paraId="5D20F3DD"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Most Extreme Differences</w:t>
            </w:r>
          </w:p>
        </w:tc>
        <w:tc>
          <w:tcPr>
            <w:tcW w:w="1409" w:type="dxa"/>
            <w:tcBorders>
              <w:top w:val="nil"/>
              <w:left w:val="nil"/>
              <w:bottom w:val="nil"/>
              <w:right w:val="nil"/>
            </w:tcBorders>
            <w:shd w:val="clear" w:color="auto" w:fill="FFFFFF"/>
            <w:vAlign w:val="center"/>
            <w:hideMark/>
          </w:tcPr>
          <w:p w:rsidR="008B50C0" w:rsidRPr="008B50C0" w:rsidP="008B50C0" w14:paraId="543841AC"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Absolute</w:t>
            </w:r>
          </w:p>
        </w:tc>
        <w:tc>
          <w:tcPr>
            <w:tcW w:w="4025" w:type="dxa"/>
            <w:tcBorders>
              <w:top w:val="nil"/>
              <w:left w:val="nil"/>
              <w:bottom w:val="nil"/>
              <w:right w:val="nil"/>
            </w:tcBorders>
            <w:shd w:val="clear" w:color="auto" w:fill="FFFFFF"/>
            <w:vAlign w:val="center"/>
            <w:hideMark/>
          </w:tcPr>
          <w:p w:rsidR="008B50C0" w:rsidRPr="008B50C0" w:rsidP="008B50C0" w14:paraId="0D3C3BE7"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.295</w:t>
            </w:r>
          </w:p>
        </w:tc>
      </w:tr>
      <w:tr w14:paraId="3CFCB79F" w14:textId="77777777" w:rsidTr="008B50C0">
        <w:tblPrEx>
          <w:tblW w:w="7110" w:type="dxa"/>
          <w:tblInd w:w="720" w:type="dxa"/>
          <w:tblLayout w:type="fixed"/>
          <w:tblLook w:val="04A0"/>
        </w:tblPrEx>
        <w:trPr>
          <w:cantSplit/>
        </w:trPr>
        <w:tc>
          <w:tcPr>
            <w:tcW w:w="7110" w:type="dxa"/>
            <w:vMerge/>
            <w:tcBorders>
              <w:top w:val="nil"/>
              <w:left w:val="nil"/>
              <w:bottom w:val="nil"/>
              <w:right w:val="nil"/>
            </w:tcBorders>
            <w:vAlign w:val="center"/>
            <w:hideMark/>
          </w:tcPr>
          <w:p w:rsidR="008B50C0" w:rsidRPr="008B50C0" w:rsidP="008B50C0" w14:paraId="641A1E1E" w14:textId="77777777">
            <w:pPr>
              <w:spacing w:after="0"/>
              <w:ind w:firstLine="284"/>
              <w:jc w:val="both"/>
              <w:rPr>
                <w:rFonts w:asciiTheme="majorBidi" w:hAnsiTheme="majorBidi" w:cstheme="majorBidi"/>
                <w:szCs w:val="20"/>
              </w:rPr>
            </w:pPr>
          </w:p>
        </w:tc>
        <w:tc>
          <w:tcPr>
            <w:tcW w:w="1409" w:type="dxa"/>
            <w:tcBorders>
              <w:top w:val="nil"/>
              <w:left w:val="nil"/>
              <w:bottom w:val="nil"/>
              <w:right w:val="nil"/>
            </w:tcBorders>
            <w:shd w:val="clear" w:color="auto" w:fill="FFFFFF"/>
            <w:vAlign w:val="center"/>
            <w:hideMark/>
          </w:tcPr>
          <w:p w:rsidR="008B50C0" w:rsidRPr="008B50C0" w:rsidP="008B50C0" w14:paraId="5902525E"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Positive</w:t>
            </w:r>
          </w:p>
        </w:tc>
        <w:tc>
          <w:tcPr>
            <w:tcW w:w="4025" w:type="dxa"/>
            <w:tcBorders>
              <w:top w:val="nil"/>
              <w:left w:val="nil"/>
              <w:bottom w:val="nil"/>
              <w:right w:val="nil"/>
            </w:tcBorders>
            <w:shd w:val="clear" w:color="auto" w:fill="FFFFFF"/>
            <w:vAlign w:val="center"/>
            <w:hideMark/>
          </w:tcPr>
          <w:p w:rsidR="008B50C0" w:rsidRPr="008B50C0" w:rsidP="008B50C0" w14:paraId="491EC873"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.170</w:t>
            </w:r>
          </w:p>
        </w:tc>
      </w:tr>
      <w:tr w14:paraId="5B72612B" w14:textId="77777777" w:rsidTr="008B50C0">
        <w:tblPrEx>
          <w:tblW w:w="7110" w:type="dxa"/>
          <w:tblInd w:w="720" w:type="dxa"/>
          <w:tblLayout w:type="fixed"/>
          <w:tblLook w:val="04A0"/>
        </w:tblPrEx>
        <w:trPr>
          <w:cantSplit/>
        </w:trPr>
        <w:tc>
          <w:tcPr>
            <w:tcW w:w="7110" w:type="dxa"/>
            <w:vMerge/>
            <w:tcBorders>
              <w:top w:val="nil"/>
              <w:left w:val="nil"/>
              <w:bottom w:val="nil"/>
              <w:right w:val="nil"/>
            </w:tcBorders>
            <w:vAlign w:val="center"/>
            <w:hideMark/>
          </w:tcPr>
          <w:p w:rsidR="008B50C0" w:rsidRPr="008B50C0" w:rsidP="008B50C0" w14:paraId="461D326B" w14:textId="77777777">
            <w:pPr>
              <w:spacing w:after="0"/>
              <w:ind w:firstLine="284"/>
              <w:jc w:val="both"/>
              <w:rPr>
                <w:rFonts w:asciiTheme="majorBidi" w:hAnsiTheme="majorBidi" w:cstheme="majorBidi"/>
                <w:szCs w:val="20"/>
              </w:rPr>
            </w:pPr>
          </w:p>
        </w:tc>
        <w:tc>
          <w:tcPr>
            <w:tcW w:w="1409" w:type="dxa"/>
            <w:tcBorders>
              <w:top w:val="nil"/>
              <w:left w:val="nil"/>
              <w:bottom w:val="nil"/>
              <w:right w:val="nil"/>
            </w:tcBorders>
            <w:shd w:val="clear" w:color="auto" w:fill="FFFFFF"/>
            <w:vAlign w:val="center"/>
            <w:hideMark/>
          </w:tcPr>
          <w:p w:rsidR="008B50C0" w:rsidRPr="008B50C0" w:rsidP="008B50C0" w14:paraId="6923FCAC"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Negative</w:t>
            </w:r>
          </w:p>
        </w:tc>
        <w:tc>
          <w:tcPr>
            <w:tcW w:w="4025" w:type="dxa"/>
            <w:tcBorders>
              <w:top w:val="nil"/>
              <w:left w:val="nil"/>
              <w:bottom w:val="nil"/>
              <w:right w:val="nil"/>
            </w:tcBorders>
            <w:shd w:val="clear" w:color="auto" w:fill="FFFFFF"/>
            <w:vAlign w:val="center"/>
            <w:hideMark/>
          </w:tcPr>
          <w:p w:rsidR="008B50C0" w:rsidRPr="008B50C0" w:rsidP="008B50C0" w14:paraId="24A14F77"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-.295</w:t>
            </w:r>
          </w:p>
        </w:tc>
      </w:tr>
      <w:tr w14:paraId="01497386" w14:textId="77777777" w:rsidTr="008B50C0">
        <w:tblPrEx>
          <w:tblW w:w="7110" w:type="dxa"/>
          <w:tblInd w:w="720" w:type="dxa"/>
          <w:tblLayout w:type="fixed"/>
          <w:tblLook w:val="04A0"/>
        </w:tblPrEx>
        <w:trPr>
          <w:cantSplit/>
        </w:trPr>
        <w:tc>
          <w:tcPr>
            <w:tcW w:w="3085" w:type="dxa"/>
            <w:gridSpan w:val="2"/>
            <w:tcBorders>
              <w:top w:val="nil"/>
              <w:left w:val="nil"/>
              <w:bottom w:val="nil"/>
              <w:right w:val="nil"/>
            </w:tcBorders>
            <w:shd w:val="clear" w:color="auto" w:fill="FFFFFF"/>
            <w:vAlign w:val="center"/>
            <w:hideMark/>
          </w:tcPr>
          <w:p w:rsidR="008B50C0" w:rsidRPr="008B50C0" w:rsidP="008B50C0" w14:paraId="4E069FC3"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Kolmogorov-Smirnov Z</w:t>
            </w:r>
          </w:p>
        </w:tc>
        <w:tc>
          <w:tcPr>
            <w:tcW w:w="4025" w:type="dxa"/>
            <w:tcBorders>
              <w:top w:val="nil"/>
              <w:left w:val="nil"/>
              <w:bottom w:val="nil"/>
              <w:right w:val="nil"/>
            </w:tcBorders>
            <w:shd w:val="clear" w:color="auto" w:fill="FFFFFF"/>
            <w:vAlign w:val="center"/>
            <w:hideMark/>
          </w:tcPr>
          <w:p w:rsidR="008B50C0" w:rsidRPr="008B50C0" w:rsidP="008B50C0" w14:paraId="6F2BE051"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1.448</w:t>
            </w:r>
          </w:p>
        </w:tc>
      </w:tr>
      <w:tr w14:paraId="100E45B1" w14:textId="77777777" w:rsidTr="008B50C0">
        <w:tblPrEx>
          <w:tblW w:w="7110" w:type="dxa"/>
          <w:tblInd w:w="720" w:type="dxa"/>
          <w:tblLayout w:type="fixed"/>
          <w:tblLook w:val="04A0"/>
        </w:tblPrEx>
        <w:trPr>
          <w:cantSplit/>
        </w:trPr>
        <w:tc>
          <w:tcPr>
            <w:tcW w:w="3085" w:type="dxa"/>
            <w:gridSpan w:val="2"/>
            <w:tcBorders>
              <w:top w:val="nil"/>
              <w:left w:val="nil"/>
              <w:bottom w:val="single" w:sz="4" w:space="0" w:color="auto"/>
              <w:right w:val="nil"/>
            </w:tcBorders>
            <w:shd w:val="clear" w:color="auto" w:fill="FFFFFF"/>
            <w:vAlign w:val="center"/>
            <w:hideMark/>
          </w:tcPr>
          <w:p w:rsidR="008B50C0" w:rsidRPr="008B50C0" w:rsidP="008B50C0" w14:paraId="79E184F6"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Asymp</w:t>
            </w:r>
            <w:r w:rsidRPr="008B50C0">
              <w:rPr>
                <w:rFonts w:asciiTheme="majorBidi" w:hAnsiTheme="majorBidi" w:cstheme="majorBidi"/>
                <w:szCs w:val="20"/>
              </w:rPr>
              <w:t>. Sig. (2-tailed)</w:t>
            </w:r>
          </w:p>
        </w:tc>
        <w:tc>
          <w:tcPr>
            <w:tcW w:w="4025" w:type="dxa"/>
            <w:tcBorders>
              <w:top w:val="nil"/>
              <w:left w:val="nil"/>
              <w:bottom w:val="single" w:sz="4" w:space="0" w:color="auto"/>
              <w:right w:val="nil"/>
            </w:tcBorders>
            <w:shd w:val="clear" w:color="auto" w:fill="FFFFFF"/>
            <w:vAlign w:val="center"/>
            <w:hideMark/>
          </w:tcPr>
          <w:p w:rsidR="008B50C0" w:rsidRPr="008B50C0" w:rsidP="008B50C0" w14:paraId="5BB6D4CB"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.030</w:t>
            </w:r>
          </w:p>
        </w:tc>
      </w:tr>
    </w:tbl>
    <w:p w:rsidR="008B50C0" w:rsidRPr="008B50C0" w:rsidP="008B50C0" w14:paraId="0E9457E4" w14:textId="77777777">
      <w:pPr>
        <w:spacing w:after="0"/>
        <w:ind w:firstLine="284"/>
        <w:jc w:val="both"/>
        <w:rPr>
          <w:rFonts w:asciiTheme="majorBidi" w:hAnsiTheme="majorBidi" w:cstheme="majorBidi"/>
          <w:szCs w:val="20"/>
        </w:rPr>
      </w:pPr>
    </w:p>
    <w:p w:rsidR="008B50C0" w:rsidRPr="008B50C0" w:rsidP="008B50C0" w14:paraId="6BFC8F55"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The results of the normality test indicate a significance value of 0.030 &gt; 0.05, indicating that the data exhibited a significance level greater than 0.05, indicating that it conforms to a normal distribution.</w:t>
      </w:r>
    </w:p>
    <w:p w:rsidR="008B50C0" w:rsidRPr="008B50C0" w:rsidP="008B50C0" w14:paraId="531390FC"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In this research, the researcher employed a sample of 24 students per class to assess the impact of treatment on students' speaking abilities using the Community Circle Strategy. The table below indicates the average score for students in the post-test was 70.00, whereas it was 35.00 in the pre-test. This disparity indicates a significant difference in the mean scores between the two assessments, with the post-test mean exceeding that of the pre-test.</w:t>
      </w:r>
    </w:p>
    <w:p w:rsidR="008B50C0" w:rsidRPr="008B50C0" w:rsidP="008B50C0" w14:paraId="30ADFCF9" w14:textId="21349D98">
      <w:pPr>
        <w:spacing w:after="0"/>
        <w:ind w:firstLine="284"/>
        <w:jc w:val="center"/>
        <w:rPr>
          <w:rFonts w:asciiTheme="majorBidi" w:hAnsiTheme="majorBidi" w:cstheme="majorBidi"/>
          <w:b/>
          <w:bCs/>
          <w:szCs w:val="20"/>
        </w:rPr>
      </w:pPr>
      <w:r w:rsidRPr="008B50C0">
        <w:rPr>
          <w:rFonts w:asciiTheme="majorBidi" w:hAnsiTheme="majorBidi" w:cstheme="majorBidi"/>
          <w:b/>
          <w:bCs/>
          <w:szCs w:val="20"/>
        </w:rPr>
        <w:t>Table 4. Test Statistic</w:t>
      </w:r>
    </w:p>
    <w:tbl>
      <w:tblPr>
        <w:tblW w:w="7663" w:type="dxa"/>
        <w:tblInd w:w="142" w:type="dxa"/>
        <w:tblBorders>
          <w:top w:val="single" w:sz="4" w:space="0" w:color="auto"/>
          <w:bottom w:val="single" w:sz="4" w:space="0" w:color="auto"/>
        </w:tblBorders>
        <w:tblLayout w:type="fixed"/>
        <w:tblCellMar>
          <w:left w:w="0" w:type="dxa"/>
          <w:right w:w="0" w:type="dxa"/>
        </w:tblCellMar>
        <w:tblLook w:val="04A0"/>
      </w:tblPr>
      <w:tblGrid>
        <w:gridCol w:w="35"/>
        <w:gridCol w:w="1237"/>
        <w:gridCol w:w="707"/>
        <w:gridCol w:w="719"/>
        <w:gridCol w:w="273"/>
        <w:gridCol w:w="991"/>
        <w:gridCol w:w="782"/>
        <w:gridCol w:w="26"/>
        <w:gridCol w:w="838"/>
        <w:gridCol w:w="46"/>
        <w:gridCol w:w="21"/>
        <w:gridCol w:w="519"/>
        <w:gridCol w:w="21"/>
        <w:gridCol w:w="301"/>
        <w:gridCol w:w="430"/>
        <w:gridCol w:w="95"/>
        <w:gridCol w:w="21"/>
        <w:gridCol w:w="594"/>
        <w:gridCol w:w="7"/>
      </w:tblGrid>
      <w:tr w14:paraId="5717CC81" w14:textId="77777777" w:rsidTr="00A26C73">
        <w:tblPrEx>
          <w:tblW w:w="7663" w:type="dxa"/>
          <w:tblInd w:w="142" w:type="dxa"/>
          <w:tblLayout w:type="fixed"/>
          <w:tblLook w:val="04A0"/>
        </w:tblPrEx>
        <w:trPr>
          <w:cantSplit/>
          <w:trHeight w:val="273"/>
        </w:trPr>
        <w:tc>
          <w:tcPr>
            <w:tcW w:w="7663" w:type="dxa"/>
            <w:gridSpan w:val="19"/>
            <w:tcBorders>
              <w:top w:val="single" w:sz="4" w:space="0" w:color="auto"/>
              <w:left w:val="nil"/>
              <w:bottom w:val="nil"/>
              <w:right w:val="nil"/>
            </w:tcBorders>
            <w:shd w:val="clear" w:color="auto" w:fill="FFFFFF"/>
            <w:hideMark/>
          </w:tcPr>
          <w:p w:rsidR="00A26C73" w:rsidRPr="00A26C73" w:rsidP="00A26C73" w14:paraId="35E2C121" w14:textId="77777777">
            <w:pPr>
              <w:spacing w:after="0"/>
              <w:jc w:val="both"/>
              <w:rPr>
                <w:rFonts w:asciiTheme="majorBidi" w:hAnsiTheme="majorBidi" w:cstheme="majorBidi"/>
                <w:szCs w:val="20"/>
              </w:rPr>
            </w:pPr>
            <w:bookmarkStart w:id="2" w:name="_Hlk178670284"/>
            <w:r w:rsidRPr="00A26C73">
              <w:rPr>
                <w:rFonts w:asciiTheme="majorBidi" w:hAnsiTheme="majorBidi" w:cstheme="majorBidi"/>
                <w:b/>
                <w:bCs/>
                <w:szCs w:val="20"/>
              </w:rPr>
              <w:t>Paired Samples Test</w:t>
            </w:r>
          </w:p>
        </w:tc>
      </w:tr>
      <w:tr w14:paraId="43D54A90" w14:textId="77777777" w:rsidTr="00A26C73">
        <w:tblPrEx>
          <w:tblW w:w="7663" w:type="dxa"/>
          <w:tblInd w:w="142" w:type="dxa"/>
          <w:tblLayout w:type="fixed"/>
          <w:tblLook w:val="04A0"/>
        </w:tblPrEx>
        <w:trPr>
          <w:cantSplit/>
          <w:trHeight w:val="273"/>
        </w:trPr>
        <w:tc>
          <w:tcPr>
            <w:tcW w:w="1272" w:type="dxa"/>
            <w:gridSpan w:val="2"/>
            <w:vMerge w:val="restart"/>
            <w:tcBorders>
              <w:top w:val="nil"/>
              <w:left w:val="nil"/>
              <w:bottom w:val="nil"/>
              <w:right w:val="nil"/>
            </w:tcBorders>
            <w:shd w:val="clear" w:color="auto" w:fill="FFFFFF"/>
          </w:tcPr>
          <w:p w:rsidR="00A26C73" w:rsidRPr="00A26C73" w:rsidP="00A26C73" w14:paraId="470D4F93" w14:textId="77777777">
            <w:pPr>
              <w:spacing w:after="0"/>
              <w:jc w:val="both"/>
              <w:rPr>
                <w:rFonts w:asciiTheme="majorBidi" w:hAnsiTheme="majorBidi" w:cstheme="majorBidi"/>
                <w:szCs w:val="20"/>
              </w:rPr>
            </w:pPr>
          </w:p>
        </w:tc>
        <w:tc>
          <w:tcPr>
            <w:tcW w:w="4382" w:type="dxa"/>
            <w:gridSpan w:val="8"/>
            <w:tcBorders>
              <w:top w:val="nil"/>
              <w:left w:val="nil"/>
              <w:bottom w:val="nil"/>
              <w:right w:val="nil"/>
            </w:tcBorders>
            <w:shd w:val="clear" w:color="auto" w:fill="FFFFFF"/>
            <w:hideMark/>
          </w:tcPr>
          <w:p w:rsidR="00A26C73" w:rsidRPr="00A26C73" w:rsidP="00A26C73" w14:paraId="64B284A8" w14:textId="77777777">
            <w:pPr>
              <w:spacing w:after="0"/>
              <w:jc w:val="center"/>
              <w:rPr>
                <w:rFonts w:asciiTheme="majorBidi" w:hAnsiTheme="majorBidi" w:cstheme="majorBidi"/>
                <w:szCs w:val="20"/>
              </w:rPr>
            </w:pPr>
            <w:r w:rsidRPr="00A26C73">
              <w:rPr>
                <w:rFonts w:asciiTheme="majorBidi" w:hAnsiTheme="majorBidi" w:cstheme="majorBidi"/>
                <w:szCs w:val="20"/>
              </w:rPr>
              <w:t>Paired Differences</w:t>
            </w:r>
          </w:p>
        </w:tc>
        <w:tc>
          <w:tcPr>
            <w:tcW w:w="540" w:type="dxa"/>
            <w:gridSpan w:val="2"/>
            <w:tcBorders>
              <w:top w:val="nil"/>
              <w:left w:val="nil"/>
              <w:bottom w:val="nil"/>
              <w:right w:val="nil"/>
            </w:tcBorders>
            <w:shd w:val="clear" w:color="auto" w:fill="FFFFFF"/>
            <w:hideMark/>
          </w:tcPr>
          <w:p w:rsidR="00A26C73" w:rsidRPr="00A26C73" w:rsidP="00A26C73" w14:paraId="2F97FB19" w14:textId="77777777">
            <w:pPr>
              <w:spacing w:after="0"/>
              <w:jc w:val="center"/>
              <w:rPr>
                <w:rFonts w:asciiTheme="majorBidi" w:hAnsiTheme="majorBidi" w:cstheme="majorBidi"/>
                <w:szCs w:val="20"/>
              </w:rPr>
            </w:pPr>
            <w:r w:rsidRPr="00A26C73">
              <w:rPr>
                <w:rFonts w:asciiTheme="majorBidi" w:hAnsiTheme="majorBidi" w:cstheme="majorBidi"/>
                <w:szCs w:val="20"/>
              </w:rPr>
              <w:t>t</w:t>
            </w:r>
          </w:p>
        </w:tc>
        <w:tc>
          <w:tcPr>
            <w:tcW w:w="847" w:type="dxa"/>
            <w:gridSpan w:val="4"/>
            <w:tcBorders>
              <w:top w:val="nil"/>
              <w:left w:val="nil"/>
              <w:bottom w:val="nil"/>
              <w:right w:val="nil"/>
            </w:tcBorders>
            <w:shd w:val="clear" w:color="auto" w:fill="FFFFFF"/>
            <w:hideMark/>
          </w:tcPr>
          <w:p w:rsidR="00A26C73" w:rsidRPr="00A26C73" w:rsidP="00A26C73" w14:paraId="7488AE4B" w14:textId="77777777">
            <w:pPr>
              <w:spacing w:after="0"/>
              <w:jc w:val="center"/>
              <w:rPr>
                <w:rFonts w:asciiTheme="majorBidi" w:hAnsiTheme="majorBidi" w:cstheme="majorBidi"/>
                <w:szCs w:val="20"/>
              </w:rPr>
            </w:pPr>
            <w:r w:rsidRPr="00A26C73">
              <w:rPr>
                <w:rFonts w:asciiTheme="majorBidi" w:hAnsiTheme="majorBidi" w:cstheme="majorBidi"/>
                <w:szCs w:val="20"/>
              </w:rPr>
              <w:t>df</w:t>
            </w:r>
          </w:p>
        </w:tc>
        <w:tc>
          <w:tcPr>
            <w:tcW w:w="622" w:type="dxa"/>
            <w:gridSpan w:val="3"/>
            <w:tcBorders>
              <w:top w:val="nil"/>
              <w:left w:val="nil"/>
              <w:bottom w:val="nil"/>
              <w:right w:val="nil"/>
            </w:tcBorders>
            <w:shd w:val="clear" w:color="auto" w:fill="FFFFFF"/>
            <w:hideMark/>
          </w:tcPr>
          <w:p w:rsidR="00A26C73" w:rsidRPr="00A26C73" w:rsidP="00A26C73" w14:paraId="3A9366A3" w14:textId="77777777">
            <w:pPr>
              <w:spacing w:after="0"/>
              <w:jc w:val="center"/>
              <w:rPr>
                <w:rFonts w:asciiTheme="majorBidi" w:hAnsiTheme="majorBidi" w:cstheme="majorBidi"/>
                <w:szCs w:val="20"/>
              </w:rPr>
            </w:pPr>
            <w:r w:rsidRPr="00A26C73">
              <w:rPr>
                <w:rFonts w:asciiTheme="majorBidi" w:hAnsiTheme="majorBidi" w:cstheme="majorBidi"/>
                <w:szCs w:val="20"/>
              </w:rPr>
              <w:t>Sig. (2-tailed)</w:t>
            </w:r>
          </w:p>
        </w:tc>
      </w:tr>
      <w:tr w14:paraId="6BAF5A07" w14:textId="77777777" w:rsidTr="00A26C73">
        <w:tblPrEx>
          <w:tblW w:w="7663" w:type="dxa"/>
          <w:tblInd w:w="142" w:type="dxa"/>
          <w:tblLayout w:type="fixed"/>
          <w:tblLook w:val="04A0"/>
        </w:tblPrEx>
        <w:trPr>
          <w:cantSplit/>
          <w:trHeight w:val="601"/>
        </w:trPr>
        <w:tc>
          <w:tcPr>
            <w:tcW w:w="1272" w:type="dxa"/>
            <w:gridSpan w:val="2"/>
            <w:vMerge/>
            <w:tcBorders>
              <w:top w:val="nil"/>
              <w:left w:val="nil"/>
              <w:bottom w:val="nil"/>
              <w:right w:val="nil"/>
            </w:tcBorders>
            <w:vAlign w:val="center"/>
            <w:hideMark/>
          </w:tcPr>
          <w:p w:rsidR="00A26C73" w:rsidRPr="00A26C73" w:rsidP="00A26C73" w14:paraId="689A5DDC" w14:textId="77777777">
            <w:pPr>
              <w:spacing w:after="0"/>
              <w:jc w:val="both"/>
              <w:rPr>
                <w:rFonts w:asciiTheme="majorBidi" w:hAnsiTheme="majorBidi" w:cstheme="majorBidi"/>
                <w:szCs w:val="20"/>
              </w:rPr>
            </w:pPr>
          </w:p>
        </w:tc>
        <w:tc>
          <w:tcPr>
            <w:tcW w:w="707" w:type="dxa"/>
            <w:vMerge w:val="restart"/>
            <w:tcBorders>
              <w:top w:val="nil"/>
              <w:left w:val="nil"/>
              <w:bottom w:val="nil"/>
              <w:right w:val="nil"/>
            </w:tcBorders>
            <w:shd w:val="clear" w:color="auto" w:fill="FFFFFF"/>
            <w:hideMark/>
          </w:tcPr>
          <w:p w:rsidR="00A26C73" w:rsidRPr="00A26C73" w:rsidP="00A26C73" w14:paraId="050FC22D" w14:textId="77777777">
            <w:pPr>
              <w:spacing w:after="0"/>
              <w:jc w:val="center"/>
              <w:rPr>
                <w:rFonts w:asciiTheme="majorBidi" w:hAnsiTheme="majorBidi" w:cstheme="majorBidi"/>
                <w:szCs w:val="20"/>
              </w:rPr>
            </w:pPr>
            <w:r w:rsidRPr="00A26C73">
              <w:rPr>
                <w:rFonts w:asciiTheme="majorBidi" w:hAnsiTheme="majorBidi" w:cstheme="majorBidi"/>
                <w:szCs w:val="20"/>
              </w:rPr>
              <w:t>Mean</w:t>
            </w:r>
          </w:p>
        </w:tc>
        <w:tc>
          <w:tcPr>
            <w:tcW w:w="719" w:type="dxa"/>
            <w:vMerge w:val="restart"/>
            <w:tcBorders>
              <w:top w:val="nil"/>
              <w:left w:val="nil"/>
              <w:bottom w:val="nil"/>
              <w:right w:val="nil"/>
            </w:tcBorders>
            <w:shd w:val="clear" w:color="auto" w:fill="FFFFFF"/>
            <w:hideMark/>
          </w:tcPr>
          <w:p w:rsidR="00A26C73" w:rsidRPr="00A26C73" w:rsidP="00A26C73" w14:paraId="4898F87C" w14:textId="77777777">
            <w:pPr>
              <w:spacing w:after="0"/>
              <w:jc w:val="center"/>
              <w:rPr>
                <w:rFonts w:asciiTheme="majorBidi" w:hAnsiTheme="majorBidi" w:cstheme="majorBidi"/>
                <w:szCs w:val="20"/>
              </w:rPr>
            </w:pPr>
            <w:r w:rsidRPr="00A26C73">
              <w:rPr>
                <w:rFonts w:asciiTheme="majorBidi" w:hAnsiTheme="majorBidi" w:cstheme="majorBidi"/>
                <w:szCs w:val="20"/>
              </w:rPr>
              <w:t>Std. Deviation</w:t>
            </w:r>
          </w:p>
        </w:tc>
        <w:tc>
          <w:tcPr>
            <w:tcW w:w="1264" w:type="dxa"/>
            <w:gridSpan w:val="2"/>
            <w:vMerge w:val="restart"/>
            <w:tcBorders>
              <w:top w:val="nil"/>
              <w:left w:val="nil"/>
              <w:bottom w:val="nil"/>
              <w:right w:val="nil"/>
            </w:tcBorders>
            <w:shd w:val="clear" w:color="auto" w:fill="FFFFFF"/>
            <w:hideMark/>
          </w:tcPr>
          <w:p w:rsidR="00A26C73" w:rsidRPr="00A26C73" w:rsidP="00A26C73" w14:paraId="2F819978" w14:textId="77777777">
            <w:pPr>
              <w:spacing w:after="0"/>
              <w:jc w:val="center"/>
              <w:rPr>
                <w:rFonts w:asciiTheme="majorBidi" w:hAnsiTheme="majorBidi" w:cstheme="majorBidi"/>
                <w:szCs w:val="20"/>
              </w:rPr>
            </w:pPr>
            <w:r w:rsidRPr="00A26C73">
              <w:rPr>
                <w:rFonts w:asciiTheme="majorBidi" w:hAnsiTheme="majorBidi" w:cstheme="majorBidi"/>
                <w:szCs w:val="20"/>
              </w:rPr>
              <w:t>Std. Error Mean</w:t>
            </w:r>
          </w:p>
        </w:tc>
        <w:tc>
          <w:tcPr>
            <w:tcW w:w="1713" w:type="dxa"/>
            <w:gridSpan w:val="5"/>
            <w:tcBorders>
              <w:top w:val="nil"/>
              <w:left w:val="nil"/>
              <w:bottom w:val="nil"/>
              <w:right w:val="nil"/>
            </w:tcBorders>
            <w:shd w:val="clear" w:color="auto" w:fill="FFFFFF"/>
            <w:hideMark/>
          </w:tcPr>
          <w:p w:rsidR="00A26C73" w:rsidRPr="00A26C73" w:rsidP="00A26C73" w14:paraId="19E96411" w14:textId="77777777">
            <w:pPr>
              <w:spacing w:after="0"/>
              <w:jc w:val="center"/>
              <w:rPr>
                <w:rFonts w:asciiTheme="majorBidi" w:hAnsiTheme="majorBidi" w:cstheme="majorBidi"/>
                <w:szCs w:val="20"/>
              </w:rPr>
            </w:pPr>
            <w:r w:rsidRPr="00A26C73">
              <w:rPr>
                <w:rFonts w:asciiTheme="majorBidi" w:hAnsiTheme="majorBidi" w:cstheme="majorBidi"/>
                <w:szCs w:val="20"/>
              </w:rPr>
              <w:t>95% Confidence Interval of the Difference</w:t>
            </w:r>
          </w:p>
        </w:tc>
        <w:tc>
          <w:tcPr>
            <w:tcW w:w="540" w:type="dxa"/>
            <w:gridSpan w:val="2"/>
            <w:vMerge w:val="restart"/>
            <w:tcBorders>
              <w:top w:val="nil"/>
              <w:left w:val="nil"/>
              <w:bottom w:val="nil"/>
              <w:right w:val="nil"/>
            </w:tcBorders>
            <w:shd w:val="clear" w:color="auto" w:fill="FFFFFF"/>
          </w:tcPr>
          <w:p w:rsidR="00A26C73" w:rsidRPr="00A26C73" w:rsidP="00A26C73" w14:paraId="29B0A0FE" w14:textId="77777777">
            <w:pPr>
              <w:spacing w:after="0"/>
              <w:jc w:val="center"/>
              <w:rPr>
                <w:rFonts w:asciiTheme="majorBidi" w:hAnsiTheme="majorBidi" w:cstheme="majorBidi"/>
                <w:szCs w:val="20"/>
              </w:rPr>
            </w:pPr>
          </w:p>
        </w:tc>
        <w:tc>
          <w:tcPr>
            <w:tcW w:w="847" w:type="dxa"/>
            <w:gridSpan w:val="4"/>
            <w:vMerge w:val="restart"/>
            <w:tcBorders>
              <w:top w:val="nil"/>
              <w:left w:val="nil"/>
              <w:bottom w:val="nil"/>
              <w:right w:val="nil"/>
            </w:tcBorders>
            <w:shd w:val="clear" w:color="auto" w:fill="FFFFFF"/>
          </w:tcPr>
          <w:p w:rsidR="00A26C73" w:rsidRPr="00A26C73" w:rsidP="00A26C73" w14:paraId="781CE851" w14:textId="77777777">
            <w:pPr>
              <w:spacing w:after="0"/>
              <w:jc w:val="center"/>
              <w:rPr>
                <w:rFonts w:asciiTheme="majorBidi" w:hAnsiTheme="majorBidi" w:cstheme="majorBidi"/>
                <w:szCs w:val="20"/>
              </w:rPr>
            </w:pPr>
          </w:p>
        </w:tc>
        <w:tc>
          <w:tcPr>
            <w:tcW w:w="601" w:type="dxa"/>
            <w:gridSpan w:val="2"/>
            <w:vMerge w:val="restart"/>
            <w:tcBorders>
              <w:top w:val="nil"/>
              <w:left w:val="nil"/>
              <w:bottom w:val="nil"/>
              <w:right w:val="nil"/>
            </w:tcBorders>
            <w:shd w:val="clear" w:color="auto" w:fill="FFFFFF"/>
          </w:tcPr>
          <w:p w:rsidR="00A26C73" w:rsidRPr="00A26C73" w:rsidP="00A26C73" w14:paraId="08096689" w14:textId="77777777">
            <w:pPr>
              <w:spacing w:after="0"/>
              <w:jc w:val="center"/>
              <w:rPr>
                <w:rFonts w:asciiTheme="majorBidi" w:hAnsiTheme="majorBidi" w:cstheme="majorBidi"/>
                <w:szCs w:val="20"/>
              </w:rPr>
            </w:pPr>
          </w:p>
        </w:tc>
      </w:tr>
      <w:tr w14:paraId="716B1FEC" w14:textId="77777777" w:rsidTr="00A26C73">
        <w:tblPrEx>
          <w:tblW w:w="7663" w:type="dxa"/>
          <w:tblInd w:w="142" w:type="dxa"/>
          <w:tblLayout w:type="fixed"/>
          <w:tblLook w:val="04A0"/>
        </w:tblPrEx>
        <w:trPr>
          <w:cantSplit/>
          <w:trHeight w:val="313"/>
        </w:trPr>
        <w:tc>
          <w:tcPr>
            <w:tcW w:w="1272" w:type="dxa"/>
            <w:gridSpan w:val="2"/>
            <w:vMerge/>
            <w:tcBorders>
              <w:top w:val="nil"/>
              <w:left w:val="nil"/>
              <w:bottom w:val="nil"/>
              <w:right w:val="nil"/>
            </w:tcBorders>
            <w:vAlign w:val="center"/>
            <w:hideMark/>
          </w:tcPr>
          <w:p w:rsidR="00A26C73" w:rsidRPr="00A26C73" w:rsidP="00A26C73" w14:paraId="411DAA97" w14:textId="77777777">
            <w:pPr>
              <w:spacing w:after="0"/>
              <w:jc w:val="both"/>
              <w:rPr>
                <w:rFonts w:asciiTheme="majorBidi" w:hAnsiTheme="majorBidi" w:cstheme="majorBidi"/>
                <w:szCs w:val="20"/>
              </w:rPr>
            </w:pPr>
          </w:p>
        </w:tc>
        <w:tc>
          <w:tcPr>
            <w:tcW w:w="707" w:type="dxa"/>
            <w:vMerge/>
            <w:tcBorders>
              <w:top w:val="nil"/>
              <w:left w:val="nil"/>
              <w:bottom w:val="nil"/>
              <w:right w:val="nil"/>
            </w:tcBorders>
            <w:vAlign w:val="center"/>
            <w:hideMark/>
          </w:tcPr>
          <w:p w:rsidR="00A26C73" w:rsidRPr="00A26C73" w:rsidP="00A26C73" w14:paraId="2A263A00" w14:textId="77777777">
            <w:pPr>
              <w:spacing w:after="0"/>
              <w:jc w:val="center"/>
              <w:rPr>
                <w:rFonts w:asciiTheme="majorBidi" w:hAnsiTheme="majorBidi" w:cstheme="majorBidi"/>
                <w:szCs w:val="20"/>
              </w:rPr>
            </w:pPr>
          </w:p>
        </w:tc>
        <w:tc>
          <w:tcPr>
            <w:tcW w:w="719" w:type="dxa"/>
            <w:vMerge/>
            <w:tcBorders>
              <w:top w:val="nil"/>
              <w:left w:val="nil"/>
              <w:bottom w:val="nil"/>
              <w:right w:val="nil"/>
            </w:tcBorders>
            <w:vAlign w:val="center"/>
            <w:hideMark/>
          </w:tcPr>
          <w:p w:rsidR="00A26C73" w:rsidRPr="00A26C73" w:rsidP="00A26C73" w14:paraId="178BCEFF" w14:textId="77777777">
            <w:pPr>
              <w:spacing w:after="0"/>
              <w:jc w:val="center"/>
              <w:rPr>
                <w:rFonts w:asciiTheme="majorBidi" w:hAnsiTheme="majorBidi" w:cstheme="majorBidi"/>
                <w:szCs w:val="20"/>
              </w:rPr>
            </w:pPr>
          </w:p>
        </w:tc>
        <w:tc>
          <w:tcPr>
            <w:tcW w:w="1264" w:type="dxa"/>
            <w:gridSpan w:val="2"/>
            <w:vMerge/>
            <w:tcBorders>
              <w:top w:val="nil"/>
              <w:left w:val="nil"/>
              <w:bottom w:val="nil"/>
              <w:right w:val="nil"/>
            </w:tcBorders>
            <w:vAlign w:val="center"/>
            <w:hideMark/>
          </w:tcPr>
          <w:p w:rsidR="00A26C73" w:rsidRPr="00A26C73" w:rsidP="00A26C73" w14:paraId="6990BA91" w14:textId="77777777">
            <w:pPr>
              <w:spacing w:after="0"/>
              <w:jc w:val="center"/>
              <w:rPr>
                <w:rFonts w:asciiTheme="majorBidi" w:hAnsiTheme="majorBidi" w:cstheme="majorBidi"/>
                <w:szCs w:val="20"/>
              </w:rPr>
            </w:pPr>
          </w:p>
        </w:tc>
        <w:tc>
          <w:tcPr>
            <w:tcW w:w="808" w:type="dxa"/>
            <w:gridSpan w:val="2"/>
            <w:tcBorders>
              <w:top w:val="nil"/>
              <w:left w:val="nil"/>
              <w:bottom w:val="nil"/>
              <w:right w:val="nil"/>
            </w:tcBorders>
            <w:shd w:val="clear" w:color="auto" w:fill="FFFFFF"/>
            <w:hideMark/>
          </w:tcPr>
          <w:p w:rsidR="00A26C73" w:rsidRPr="00A26C73" w:rsidP="00A26C73" w14:paraId="705233C6" w14:textId="77777777">
            <w:pPr>
              <w:spacing w:after="0"/>
              <w:jc w:val="center"/>
              <w:rPr>
                <w:rFonts w:asciiTheme="majorBidi" w:hAnsiTheme="majorBidi" w:cstheme="majorBidi"/>
                <w:szCs w:val="20"/>
              </w:rPr>
            </w:pPr>
            <w:r w:rsidRPr="00A26C73">
              <w:rPr>
                <w:rFonts w:asciiTheme="majorBidi" w:hAnsiTheme="majorBidi" w:cstheme="majorBidi"/>
                <w:szCs w:val="20"/>
              </w:rPr>
              <w:t>Lower</w:t>
            </w:r>
          </w:p>
        </w:tc>
        <w:tc>
          <w:tcPr>
            <w:tcW w:w="905" w:type="dxa"/>
            <w:gridSpan w:val="3"/>
            <w:tcBorders>
              <w:top w:val="nil"/>
              <w:left w:val="nil"/>
              <w:bottom w:val="nil"/>
              <w:right w:val="nil"/>
            </w:tcBorders>
            <w:shd w:val="clear" w:color="auto" w:fill="FFFFFF"/>
            <w:hideMark/>
          </w:tcPr>
          <w:p w:rsidR="00A26C73" w:rsidRPr="00A26C73" w:rsidP="00A26C73" w14:paraId="1C9930BD" w14:textId="77777777">
            <w:pPr>
              <w:spacing w:after="0"/>
              <w:jc w:val="center"/>
              <w:rPr>
                <w:rFonts w:asciiTheme="majorBidi" w:hAnsiTheme="majorBidi" w:cstheme="majorBidi"/>
                <w:szCs w:val="20"/>
              </w:rPr>
            </w:pPr>
            <w:r w:rsidRPr="00A26C73">
              <w:rPr>
                <w:rFonts w:asciiTheme="majorBidi" w:hAnsiTheme="majorBidi" w:cstheme="majorBidi"/>
                <w:szCs w:val="20"/>
              </w:rPr>
              <w:t>Upper</w:t>
            </w:r>
          </w:p>
        </w:tc>
        <w:tc>
          <w:tcPr>
            <w:tcW w:w="540" w:type="dxa"/>
            <w:gridSpan w:val="2"/>
            <w:vMerge/>
            <w:tcBorders>
              <w:top w:val="nil"/>
              <w:left w:val="nil"/>
              <w:bottom w:val="nil"/>
              <w:right w:val="nil"/>
            </w:tcBorders>
            <w:vAlign w:val="center"/>
            <w:hideMark/>
          </w:tcPr>
          <w:p w:rsidR="00A26C73" w:rsidRPr="00A26C73" w:rsidP="00A26C73" w14:paraId="3BEF753D" w14:textId="77777777">
            <w:pPr>
              <w:spacing w:after="0"/>
              <w:jc w:val="center"/>
              <w:rPr>
                <w:rFonts w:asciiTheme="majorBidi" w:hAnsiTheme="majorBidi" w:cstheme="majorBidi"/>
                <w:szCs w:val="20"/>
              </w:rPr>
            </w:pPr>
          </w:p>
        </w:tc>
        <w:tc>
          <w:tcPr>
            <w:tcW w:w="847" w:type="dxa"/>
            <w:gridSpan w:val="4"/>
            <w:vMerge/>
            <w:tcBorders>
              <w:top w:val="nil"/>
              <w:left w:val="nil"/>
              <w:bottom w:val="nil"/>
              <w:right w:val="nil"/>
            </w:tcBorders>
            <w:vAlign w:val="center"/>
            <w:hideMark/>
          </w:tcPr>
          <w:p w:rsidR="00A26C73" w:rsidRPr="00A26C73" w:rsidP="00A26C73" w14:paraId="6C716FF0" w14:textId="77777777">
            <w:pPr>
              <w:spacing w:after="0"/>
              <w:jc w:val="center"/>
              <w:rPr>
                <w:rFonts w:asciiTheme="majorBidi" w:hAnsiTheme="majorBidi" w:cstheme="majorBidi"/>
                <w:szCs w:val="20"/>
              </w:rPr>
            </w:pPr>
          </w:p>
        </w:tc>
        <w:tc>
          <w:tcPr>
            <w:tcW w:w="601" w:type="dxa"/>
            <w:gridSpan w:val="2"/>
            <w:vMerge/>
            <w:tcBorders>
              <w:top w:val="nil"/>
              <w:left w:val="nil"/>
              <w:bottom w:val="nil"/>
              <w:right w:val="nil"/>
            </w:tcBorders>
            <w:vAlign w:val="center"/>
            <w:hideMark/>
          </w:tcPr>
          <w:p w:rsidR="00A26C73" w:rsidRPr="00A26C73" w:rsidP="00A26C73" w14:paraId="56E02EAA" w14:textId="77777777">
            <w:pPr>
              <w:spacing w:after="0"/>
              <w:jc w:val="center"/>
              <w:rPr>
                <w:rFonts w:asciiTheme="majorBidi" w:hAnsiTheme="majorBidi" w:cstheme="majorBidi"/>
                <w:szCs w:val="20"/>
              </w:rPr>
            </w:pPr>
          </w:p>
        </w:tc>
      </w:tr>
      <w:tr w14:paraId="777C83DA" w14:textId="77777777" w:rsidTr="00A26C73">
        <w:tblPrEx>
          <w:tblW w:w="7663" w:type="dxa"/>
          <w:tblInd w:w="142" w:type="dxa"/>
          <w:tblLayout w:type="fixed"/>
          <w:tblLook w:val="04A0"/>
        </w:tblPrEx>
        <w:trPr>
          <w:gridAfter w:val="1"/>
          <w:wAfter w:w="7" w:type="dxa"/>
          <w:cantSplit/>
          <w:trHeight w:val="260"/>
        </w:trPr>
        <w:tc>
          <w:tcPr>
            <w:tcW w:w="35" w:type="dxa"/>
            <w:tcBorders>
              <w:top w:val="nil"/>
              <w:left w:val="nil"/>
              <w:bottom w:val="single" w:sz="4" w:space="0" w:color="auto"/>
              <w:right w:val="nil"/>
            </w:tcBorders>
            <w:shd w:val="clear" w:color="auto" w:fill="FFFFFF"/>
            <w:vAlign w:val="center"/>
            <w:hideMark/>
          </w:tcPr>
          <w:p w:rsidR="00A26C73" w:rsidRPr="00A26C73" w:rsidP="00A26C73" w14:paraId="35B49DB7" w14:textId="77777777">
            <w:pPr>
              <w:spacing w:after="0"/>
              <w:jc w:val="both"/>
              <w:rPr>
                <w:rFonts w:asciiTheme="majorBidi" w:hAnsiTheme="majorBidi" w:cstheme="majorBidi"/>
                <w:szCs w:val="20"/>
              </w:rPr>
            </w:pPr>
            <w:r w:rsidRPr="00A26C73">
              <w:rPr>
                <w:rFonts w:asciiTheme="majorBidi" w:hAnsiTheme="majorBidi" w:cstheme="majorBidi"/>
                <w:szCs w:val="20"/>
              </w:rPr>
              <w:t>Pair 1</w:t>
            </w:r>
          </w:p>
        </w:tc>
        <w:tc>
          <w:tcPr>
            <w:tcW w:w="1237" w:type="dxa"/>
            <w:tcBorders>
              <w:top w:val="nil"/>
              <w:left w:val="nil"/>
              <w:bottom w:val="single" w:sz="4" w:space="0" w:color="auto"/>
              <w:right w:val="nil"/>
            </w:tcBorders>
            <w:shd w:val="clear" w:color="auto" w:fill="FFFFFF"/>
            <w:vAlign w:val="center"/>
            <w:hideMark/>
          </w:tcPr>
          <w:p w:rsidR="00A26C73" w:rsidRPr="00A26C73" w:rsidP="00A26C73" w14:paraId="6D134E6B" w14:textId="77777777">
            <w:pPr>
              <w:spacing w:after="0"/>
              <w:jc w:val="both"/>
              <w:rPr>
                <w:rFonts w:asciiTheme="majorBidi" w:hAnsiTheme="majorBidi" w:cstheme="majorBidi"/>
                <w:szCs w:val="20"/>
              </w:rPr>
            </w:pPr>
            <w:r w:rsidRPr="00A26C73">
              <w:rPr>
                <w:rFonts w:asciiTheme="majorBidi" w:hAnsiTheme="majorBidi" w:cstheme="majorBidi"/>
                <w:szCs w:val="20"/>
              </w:rPr>
              <w:t>Pre-test - post test</w:t>
            </w:r>
          </w:p>
        </w:tc>
        <w:tc>
          <w:tcPr>
            <w:tcW w:w="707" w:type="dxa"/>
            <w:tcBorders>
              <w:top w:val="nil"/>
              <w:left w:val="nil"/>
              <w:bottom w:val="single" w:sz="4" w:space="0" w:color="auto"/>
              <w:right w:val="nil"/>
            </w:tcBorders>
            <w:shd w:val="clear" w:color="auto" w:fill="FFFFFF"/>
            <w:vAlign w:val="center"/>
            <w:hideMark/>
          </w:tcPr>
          <w:p w:rsidR="00A26C73" w:rsidRPr="00A26C73" w:rsidP="00A26C73" w14:paraId="18B45004" w14:textId="77777777">
            <w:pPr>
              <w:spacing w:after="0"/>
              <w:jc w:val="center"/>
              <w:rPr>
                <w:rFonts w:asciiTheme="majorBidi" w:hAnsiTheme="majorBidi" w:cstheme="majorBidi"/>
                <w:szCs w:val="20"/>
              </w:rPr>
            </w:pPr>
            <w:r w:rsidRPr="00A26C73">
              <w:rPr>
                <w:rFonts w:asciiTheme="majorBidi" w:hAnsiTheme="majorBidi" w:cstheme="majorBidi"/>
                <w:szCs w:val="20"/>
              </w:rPr>
              <w:t>-35.000</w:t>
            </w:r>
          </w:p>
        </w:tc>
        <w:tc>
          <w:tcPr>
            <w:tcW w:w="992" w:type="dxa"/>
            <w:gridSpan w:val="2"/>
            <w:tcBorders>
              <w:top w:val="nil"/>
              <w:left w:val="nil"/>
              <w:bottom w:val="single" w:sz="4" w:space="0" w:color="auto"/>
              <w:right w:val="nil"/>
            </w:tcBorders>
            <w:shd w:val="clear" w:color="auto" w:fill="FFFFFF"/>
            <w:vAlign w:val="center"/>
            <w:hideMark/>
          </w:tcPr>
          <w:p w:rsidR="00A26C73" w:rsidRPr="00A26C73" w:rsidP="00A26C73" w14:paraId="586E67B8" w14:textId="77777777">
            <w:pPr>
              <w:spacing w:after="0"/>
              <w:jc w:val="center"/>
              <w:rPr>
                <w:rFonts w:asciiTheme="majorBidi" w:hAnsiTheme="majorBidi" w:cstheme="majorBidi"/>
                <w:szCs w:val="20"/>
              </w:rPr>
            </w:pPr>
            <w:r w:rsidRPr="00A26C73">
              <w:rPr>
                <w:rFonts w:asciiTheme="majorBidi" w:hAnsiTheme="majorBidi" w:cstheme="majorBidi"/>
                <w:szCs w:val="20"/>
              </w:rPr>
              <w:t>10.697</w:t>
            </w:r>
          </w:p>
        </w:tc>
        <w:tc>
          <w:tcPr>
            <w:tcW w:w="991" w:type="dxa"/>
            <w:tcBorders>
              <w:top w:val="nil"/>
              <w:left w:val="nil"/>
              <w:bottom w:val="single" w:sz="4" w:space="0" w:color="auto"/>
              <w:right w:val="nil"/>
            </w:tcBorders>
            <w:shd w:val="clear" w:color="auto" w:fill="FFFFFF"/>
            <w:vAlign w:val="center"/>
            <w:hideMark/>
          </w:tcPr>
          <w:p w:rsidR="00A26C73" w:rsidRPr="00A26C73" w:rsidP="00A26C73" w14:paraId="1E8DD583" w14:textId="77777777">
            <w:pPr>
              <w:spacing w:after="0"/>
              <w:jc w:val="center"/>
              <w:rPr>
                <w:rFonts w:asciiTheme="majorBidi" w:hAnsiTheme="majorBidi" w:cstheme="majorBidi"/>
                <w:szCs w:val="20"/>
              </w:rPr>
            </w:pPr>
            <w:r w:rsidRPr="00A26C73">
              <w:rPr>
                <w:rFonts w:asciiTheme="majorBidi" w:hAnsiTheme="majorBidi" w:cstheme="majorBidi"/>
                <w:szCs w:val="20"/>
              </w:rPr>
              <w:t>2.184</w:t>
            </w:r>
          </w:p>
        </w:tc>
        <w:tc>
          <w:tcPr>
            <w:tcW w:w="782" w:type="dxa"/>
            <w:tcBorders>
              <w:top w:val="nil"/>
              <w:left w:val="nil"/>
              <w:bottom w:val="single" w:sz="4" w:space="0" w:color="auto"/>
              <w:right w:val="nil"/>
            </w:tcBorders>
            <w:shd w:val="clear" w:color="auto" w:fill="FFFFFF"/>
            <w:vAlign w:val="center"/>
            <w:hideMark/>
          </w:tcPr>
          <w:p w:rsidR="00A26C73" w:rsidRPr="00A26C73" w:rsidP="00A26C73" w14:paraId="4244C9FF" w14:textId="77777777">
            <w:pPr>
              <w:spacing w:after="0"/>
              <w:jc w:val="center"/>
              <w:rPr>
                <w:rFonts w:asciiTheme="majorBidi" w:hAnsiTheme="majorBidi" w:cstheme="majorBidi"/>
                <w:szCs w:val="20"/>
              </w:rPr>
            </w:pPr>
            <w:r w:rsidRPr="00A26C73">
              <w:rPr>
                <w:rFonts w:asciiTheme="majorBidi" w:hAnsiTheme="majorBidi" w:cstheme="majorBidi"/>
                <w:szCs w:val="20"/>
              </w:rPr>
              <w:t>-39.517</w:t>
            </w:r>
          </w:p>
        </w:tc>
        <w:tc>
          <w:tcPr>
            <w:tcW w:w="864" w:type="dxa"/>
            <w:gridSpan w:val="2"/>
            <w:tcBorders>
              <w:top w:val="nil"/>
              <w:left w:val="nil"/>
              <w:bottom w:val="single" w:sz="4" w:space="0" w:color="auto"/>
              <w:right w:val="nil"/>
            </w:tcBorders>
            <w:shd w:val="clear" w:color="auto" w:fill="FFFFFF"/>
            <w:vAlign w:val="center"/>
            <w:hideMark/>
          </w:tcPr>
          <w:p w:rsidR="00A26C73" w:rsidRPr="00A26C73" w:rsidP="00A26C73" w14:paraId="64061972" w14:textId="77777777">
            <w:pPr>
              <w:spacing w:after="0"/>
              <w:jc w:val="center"/>
              <w:rPr>
                <w:rFonts w:asciiTheme="majorBidi" w:hAnsiTheme="majorBidi" w:cstheme="majorBidi"/>
                <w:szCs w:val="20"/>
              </w:rPr>
            </w:pPr>
            <w:r w:rsidRPr="00A26C73">
              <w:rPr>
                <w:rFonts w:asciiTheme="majorBidi" w:hAnsiTheme="majorBidi" w:cstheme="majorBidi"/>
                <w:szCs w:val="20"/>
              </w:rPr>
              <w:t>-30.483</w:t>
            </w:r>
          </w:p>
        </w:tc>
        <w:tc>
          <w:tcPr>
            <w:tcW w:w="908" w:type="dxa"/>
            <w:gridSpan w:val="5"/>
            <w:tcBorders>
              <w:top w:val="nil"/>
              <w:left w:val="nil"/>
              <w:bottom w:val="single" w:sz="4" w:space="0" w:color="auto"/>
              <w:right w:val="nil"/>
            </w:tcBorders>
            <w:shd w:val="clear" w:color="auto" w:fill="FFFFFF"/>
            <w:vAlign w:val="center"/>
            <w:hideMark/>
          </w:tcPr>
          <w:p w:rsidR="00A26C73" w:rsidRPr="00A26C73" w:rsidP="00A26C73" w14:paraId="590B1423" w14:textId="77777777">
            <w:pPr>
              <w:spacing w:after="0"/>
              <w:jc w:val="center"/>
              <w:rPr>
                <w:rFonts w:asciiTheme="majorBidi" w:hAnsiTheme="majorBidi" w:cstheme="majorBidi"/>
                <w:szCs w:val="20"/>
              </w:rPr>
            </w:pPr>
            <w:r w:rsidRPr="00A26C73">
              <w:rPr>
                <w:rFonts w:asciiTheme="majorBidi" w:hAnsiTheme="majorBidi" w:cstheme="majorBidi"/>
                <w:szCs w:val="20"/>
              </w:rPr>
              <w:t>-160.029</w:t>
            </w:r>
          </w:p>
        </w:tc>
        <w:tc>
          <w:tcPr>
            <w:tcW w:w="430" w:type="dxa"/>
            <w:tcBorders>
              <w:top w:val="nil"/>
              <w:left w:val="nil"/>
              <w:bottom w:val="single" w:sz="4" w:space="0" w:color="auto"/>
              <w:right w:val="nil"/>
            </w:tcBorders>
            <w:shd w:val="clear" w:color="auto" w:fill="FFFFFF"/>
            <w:vAlign w:val="center"/>
            <w:hideMark/>
          </w:tcPr>
          <w:p w:rsidR="00A26C73" w:rsidRPr="00A26C73" w:rsidP="00A26C73" w14:paraId="191067DF" w14:textId="77777777">
            <w:pPr>
              <w:spacing w:after="0"/>
              <w:jc w:val="center"/>
              <w:rPr>
                <w:rFonts w:asciiTheme="majorBidi" w:hAnsiTheme="majorBidi" w:cstheme="majorBidi"/>
                <w:szCs w:val="20"/>
              </w:rPr>
            </w:pPr>
            <w:r w:rsidRPr="00A26C73">
              <w:rPr>
                <w:rFonts w:asciiTheme="majorBidi" w:hAnsiTheme="majorBidi" w:cstheme="majorBidi"/>
                <w:szCs w:val="20"/>
              </w:rPr>
              <w:t>23</w:t>
            </w:r>
          </w:p>
        </w:tc>
        <w:tc>
          <w:tcPr>
            <w:tcW w:w="710" w:type="dxa"/>
            <w:gridSpan w:val="3"/>
            <w:tcBorders>
              <w:top w:val="nil"/>
              <w:left w:val="nil"/>
              <w:bottom w:val="single" w:sz="4" w:space="0" w:color="auto"/>
              <w:right w:val="nil"/>
            </w:tcBorders>
            <w:shd w:val="clear" w:color="auto" w:fill="FFFFFF"/>
            <w:vAlign w:val="center"/>
            <w:hideMark/>
          </w:tcPr>
          <w:p w:rsidR="00A26C73" w:rsidRPr="00A26C73" w:rsidP="00A26C73" w14:paraId="256D91BB" w14:textId="77777777">
            <w:pPr>
              <w:spacing w:after="0"/>
              <w:jc w:val="center"/>
              <w:rPr>
                <w:rFonts w:asciiTheme="majorBidi" w:hAnsiTheme="majorBidi" w:cstheme="majorBidi"/>
                <w:szCs w:val="20"/>
              </w:rPr>
            </w:pPr>
            <w:r w:rsidRPr="00A26C73">
              <w:rPr>
                <w:rFonts w:asciiTheme="majorBidi" w:hAnsiTheme="majorBidi" w:cstheme="majorBidi"/>
                <w:szCs w:val="20"/>
              </w:rPr>
              <w:t>.000</w:t>
            </w:r>
          </w:p>
        </w:tc>
        <w:bookmarkEnd w:id="2"/>
      </w:tr>
    </w:tbl>
    <w:p w:rsidR="008B50C0" w:rsidP="00A26C73" w14:paraId="08F65241" w14:textId="77777777">
      <w:pPr>
        <w:spacing w:after="0"/>
        <w:jc w:val="both"/>
        <w:rPr>
          <w:rFonts w:asciiTheme="majorBidi" w:hAnsiTheme="majorBidi" w:cstheme="majorBidi"/>
          <w:szCs w:val="20"/>
        </w:rPr>
      </w:pPr>
    </w:p>
    <w:p w:rsidR="008B50C0" w:rsidP="008B50C0" w14:paraId="5A2FA48B" w14:textId="77777777">
      <w:pPr>
        <w:spacing w:after="0"/>
        <w:ind w:firstLine="284"/>
        <w:jc w:val="both"/>
        <w:rPr>
          <w:rFonts w:asciiTheme="majorBidi" w:hAnsiTheme="majorBidi" w:cstheme="majorBidi"/>
          <w:szCs w:val="20"/>
        </w:rPr>
      </w:pPr>
    </w:p>
    <w:p w:rsidR="008B50C0" w:rsidRPr="008B50C0" w:rsidP="008B50C0" w14:paraId="4FC6C826" w14:textId="6CBE437B">
      <w:pPr>
        <w:spacing w:after="0"/>
        <w:ind w:firstLine="284"/>
        <w:jc w:val="both"/>
        <w:rPr>
          <w:rFonts w:asciiTheme="majorBidi" w:hAnsiTheme="majorBidi" w:cstheme="majorBidi"/>
          <w:szCs w:val="20"/>
        </w:rPr>
      </w:pPr>
      <w:r w:rsidRPr="008B50C0">
        <w:rPr>
          <w:rFonts w:asciiTheme="majorBidi" w:hAnsiTheme="majorBidi" w:cstheme="majorBidi"/>
          <w:szCs w:val="20"/>
        </w:rPr>
        <w:t>Based on the sample testing results above, the two-tailed significance value (p) was found to be 0.000. This indicates that the two-tailed significance value is less than alpha (α) (0.000 &lt; 0.05) or (p &lt; α). The objective of this study was to assess students' English-</w:t>
      </w:r>
      <w:r w:rsidRPr="008B50C0">
        <w:rPr>
          <w:rFonts w:asciiTheme="majorBidi" w:hAnsiTheme="majorBidi" w:cstheme="majorBidi"/>
          <w:szCs w:val="20"/>
        </w:rPr>
        <w:t xml:space="preserve">speaking proficiency before and after the implementation of the Community Circle Strategy, and to evaluate its efficacy in the tenth grade at MA Al Balagh </w:t>
      </w:r>
      <w:r w:rsidRPr="008B50C0">
        <w:rPr>
          <w:rFonts w:asciiTheme="majorBidi" w:hAnsiTheme="majorBidi" w:cstheme="majorBidi"/>
          <w:szCs w:val="20"/>
        </w:rPr>
        <w:t>Bulutigo</w:t>
      </w:r>
      <w:r w:rsidRPr="008B50C0">
        <w:rPr>
          <w:rFonts w:asciiTheme="majorBidi" w:hAnsiTheme="majorBidi" w:cstheme="majorBidi"/>
          <w:szCs w:val="20"/>
        </w:rPr>
        <w:t>.</w:t>
      </w:r>
    </w:p>
    <w:p w:rsidR="008B50C0" w:rsidRPr="008B50C0" w:rsidP="008B50C0" w14:paraId="17F941F5"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In this research, a pre-experimental design was employed using the Community Circle Strategy. The research design employed was the One Group Pre-test and Post-test. The study involved administering a single pre-test during the initial session to evaluate English vocabulary proficiency before the intervention commenced, followed by seven treatment sessions, and concluding with a post-test administered at the end of the sessions.</w:t>
      </w:r>
    </w:p>
    <w:p w:rsidR="008B50C0" w:rsidRPr="008B50C0" w:rsidP="00A26C73" w14:paraId="2B42EB8B" w14:textId="1F4E8EA6">
      <w:pPr>
        <w:spacing w:after="0"/>
        <w:ind w:firstLine="284"/>
        <w:jc w:val="both"/>
        <w:rPr>
          <w:rFonts w:asciiTheme="majorBidi" w:hAnsiTheme="majorBidi" w:cstheme="majorBidi"/>
          <w:szCs w:val="20"/>
        </w:rPr>
      </w:pPr>
      <w:r w:rsidRPr="008B50C0">
        <w:rPr>
          <w:rFonts w:asciiTheme="majorBidi" w:hAnsiTheme="majorBidi" w:cstheme="majorBidi"/>
          <w:szCs w:val="20"/>
        </w:rPr>
        <w:t xml:space="preserve">Data processing was performed </w:t>
      </w:r>
      <w:r w:rsidRPr="008B50C0">
        <w:rPr>
          <w:rFonts w:asciiTheme="majorBidi" w:hAnsiTheme="majorBidi" w:cstheme="majorBidi"/>
          <w:szCs w:val="20"/>
          <w:lang w:val="id-ID"/>
        </w:rPr>
        <w:t>by</w:t>
      </w:r>
      <w:r w:rsidRPr="008B50C0">
        <w:rPr>
          <w:rFonts w:asciiTheme="majorBidi" w:hAnsiTheme="majorBidi" w:cstheme="majorBidi"/>
          <w:szCs w:val="20"/>
          <w:lang w:val="id-ID"/>
        </w:rPr>
        <w:t xml:space="preserve"> </w:t>
      </w:r>
      <w:r w:rsidRPr="008B50C0">
        <w:rPr>
          <w:rFonts w:asciiTheme="majorBidi" w:hAnsiTheme="majorBidi" w:cstheme="majorBidi"/>
          <w:szCs w:val="20"/>
        </w:rPr>
        <w:t>using SPSS 25, involving the collection of pre-test and post-test data. Normality testing of the data was conducted using the one-sample Kolmogorov-Smirnov test to ensure data normality before proceeding with the T-test to determine data significance.</w:t>
      </w:r>
    </w:p>
    <w:p w:rsidR="008B50C0" w:rsidRPr="008B50C0" w:rsidP="008B50C0" w14:paraId="4152FC8D"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After processing with SPSS, the average pre-test score of students was 35.00. As indicated in Table 4.1, these pre-test scores did not meet the school's Criteria for Achievement of Learning Objectives (KKTP), which is set at 70.</w:t>
      </w:r>
    </w:p>
    <w:p w:rsidR="008B50C0" w:rsidRPr="008B50C0" w:rsidP="008B50C0" w14:paraId="27AF8AE3"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 xml:space="preserve">After receiving implementation of strategy, as indicated in Table 4.2, the average student score significantly increased to 70.00. Additionally, Table 4.6 illustrates the difference between pre-test and post-test scores, showing an improvement from an average pre-test score of 35.00 to an average post-test score of 70.00. Although the average post-test score did not reach the Minimum Mastery Criteria (KKTP), this indicates a positive impact on students’ speaking ability. </w:t>
      </w:r>
    </w:p>
    <w:p w:rsidR="008B50C0" w:rsidRPr="008B50C0" w:rsidP="008B50C0" w14:paraId="146FDBE4" w14:textId="77777777">
      <w:pPr>
        <w:spacing w:after="0"/>
        <w:ind w:firstLine="284"/>
        <w:jc w:val="both"/>
        <w:rPr>
          <w:rFonts w:asciiTheme="majorBidi" w:hAnsiTheme="majorBidi" w:cstheme="majorBidi"/>
          <w:szCs w:val="20"/>
        </w:rPr>
      </w:pPr>
      <w:r w:rsidRPr="008B50C0">
        <w:rPr>
          <w:rFonts w:asciiTheme="majorBidi" w:hAnsiTheme="majorBidi" w:cstheme="majorBidi"/>
          <w:szCs w:val="20"/>
        </w:rPr>
        <w:t xml:space="preserve">The T-table result, Sig. (2-tailed), was (0.000) &lt; α (0.05). With a significance value less than 0.05, there is insufficient evidence to reject the null hypothesis (H0), hence the alternative hypothesis (Ha) is accepted. This suggests that students’ speaking ability significantly improved following the treatment gave. </w:t>
      </w:r>
    </w:p>
    <w:p w:rsidR="003134CE" w:rsidP="00A26C73" w14:paraId="5768EA7B" w14:textId="447599F5">
      <w:pPr>
        <w:spacing w:after="0"/>
        <w:ind w:firstLine="284"/>
        <w:jc w:val="both"/>
        <w:rPr>
          <w:rFonts w:asciiTheme="majorBidi" w:hAnsiTheme="majorBidi" w:cstheme="majorBidi"/>
          <w:szCs w:val="20"/>
        </w:rPr>
      </w:pPr>
      <w:r w:rsidRPr="008B50C0">
        <w:rPr>
          <w:rFonts w:asciiTheme="majorBidi" w:hAnsiTheme="majorBidi" w:cstheme="majorBidi"/>
          <w:szCs w:val="20"/>
        </w:rPr>
        <w:t xml:space="preserve">In conclusion, the treatment applied proved effective in enhancing English speaking proficiency among tenth grade students at MA Al Balagh </w:t>
      </w:r>
      <w:r w:rsidRPr="008B50C0">
        <w:rPr>
          <w:rFonts w:asciiTheme="majorBidi" w:hAnsiTheme="majorBidi" w:cstheme="majorBidi"/>
          <w:szCs w:val="20"/>
        </w:rPr>
        <w:t>Bulutigo</w:t>
      </w:r>
      <w:r w:rsidRPr="008B50C0">
        <w:rPr>
          <w:rFonts w:asciiTheme="majorBidi" w:hAnsiTheme="majorBidi" w:cstheme="majorBidi"/>
          <w:szCs w:val="20"/>
        </w:rPr>
        <w:t xml:space="preserve">. The research question regarding “Is Community Circle Strategy effective on English speaking ability of tenth grade students of MA Al Balagh </w:t>
      </w:r>
      <w:r w:rsidRPr="008B50C0">
        <w:rPr>
          <w:rFonts w:asciiTheme="majorBidi" w:hAnsiTheme="majorBidi" w:cstheme="majorBidi"/>
          <w:szCs w:val="20"/>
        </w:rPr>
        <w:t>Bulutigo</w:t>
      </w:r>
      <w:r w:rsidRPr="008B50C0">
        <w:rPr>
          <w:rFonts w:asciiTheme="majorBidi" w:hAnsiTheme="majorBidi" w:cstheme="majorBidi"/>
          <w:szCs w:val="20"/>
        </w:rPr>
        <w:t>?”. Therefore, it can be affirmed that the Community Circle Strategy is indeed effective in improving students’ speaking ability.</w:t>
      </w:r>
    </w:p>
    <w:p w:rsidR="00A26C73" w:rsidRPr="00A26C73" w:rsidP="00A26C73" w14:paraId="11B5F730" w14:textId="77777777">
      <w:pPr>
        <w:spacing w:after="0"/>
        <w:ind w:firstLine="284"/>
        <w:jc w:val="both"/>
        <w:rPr>
          <w:rFonts w:asciiTheme="majorBidi" w:hAnsiTheme="majorBidi" w:cstheme="majorBidi"/>
          <w:szCs w:val="20"/>
        </w:rPr>
      </w:pPr>
    </w:p>
    <w:p w:rsidR="003134CE" w:rsidRPr="00A26C73" w:rsidP="00A26C73" w14:paraId="27BB7EAD" w14:textId="0CD89521">
      <w:pPr>
        <w:pStyle w:val="IEEEHeading1"/>
        <w:numPr>
          <w:ilvl w:val="0"/>
          <w:numId w:val="0"/>
        </w:numPr>
        <w:spacing w:before="0" w:after="0"/>
        <w:rPr>
          <w:b/>
          <w:iCs/>
          <w:sz w:val="22"/>
          <w:szCs w:val="20"/>
          <w:lang w:val="id-ID"/>
        </w:rPr>
      </w:pPr>
      <w:r>
        <w:rPr>
          <w:b/>
          <w:iCs/>
          <w:sz w:val="22"/>
          <w:szCs w:val="20"/>
          <w:lang w:val="id-ID"/>
        </w:rPr>
        <w:t>CONCLUSSION</w:t>
      </w:r>
      <w:bookmarkStart w:id="3" w:name="_Hlk146179958"/>
    </w:p>
    <w:p w:rsidR="00A26C73" w:rsidRPr="00A26C73" w:rsidP="00A26C73" w14:paraId="5D832439" w14:textId="77777777">
      <w:pPr>
        <w:spacing w:after="0"/>
        <w:ind w:firstLine="284"/>
        <w:jc w:val="both"/>
        <w:rPr>
          <w:rFonts w:ascii="Times New Roman" w:eastAsia="SimSun" w:hAnsi="Times New Roman"/>
          <w:szCs w:val="24"/>
          <w:lang w:eastAsia="zh-CN"/>
        </w:rPr>
      </w:pPr>
      <w:r w:rsidRPr="00A26C73">
        <w:rPr>
          <w:rFonts w:ascii="Times New Roman" w:eastAsia="SimSun" w:hAnsi="Times New Roman"/>
          <w:szCs w:val="24"/>
          <w:lang w:eastAsia="zh-CN"/>
        </w:rPr>
        <w:t xml:space="preserve">Based on the research conducted at MA Al Balagh </w:t>
      </w:r>
      <w:r w:rsidRPr="00A26C73">
        <w:rPr>
          <w:rFonts w:ascii="Times New Roman" w:eastAsia="SimSun" w:hAnsi="Times New Roman"/>
          <w:szCs w:val="24"/>
          <w:lang w:eastAsia="zh-CN"/>
        </w:rPr>
        <w:t>Bulutigo</w:t>
      </w:r>
      <w:r w:rsidRPr="00A26C73">
        <w:rPr>
          <w:rFonts w:ascii="Times New Roman" w:eastAsia="SimSun" w:hAnsi="Times New Roman"/>
          <w:szCs w:val="24"/>
          <w:lang w:eastAsia="zh-CN"/>
        </w:rPr>
        <w:t xml:space="preserve"> in the academic year 2023/2024, it can be concluded that the use of Community Circle Strategy </w:t>
      </w:r>
      <w:r w:rsidRPr="00A26C73">
        <w:rPr>
          <w:rFonts w:ascii="Times New Roman" w:eastAsia="SimSun" w:hAnsi="Times New Roman"/>
          <w:szCs w:val="24"/>
          <w:lang w:val="id-ID" w:eastAsia="zh-CN"/>
        </w:rPr>
        <w:t>was</w:t>
      </w:r>
      <w:r w:rsidRPr="00A26C73">
        <w:rPr>
          <w:rFonts w:ascii="Times New Roman" w:eastAsia="SimSun" w:hAnsi="Times New Roman"/>
          <w:szCs w:val="24"/>
          <w:lang w:eastAsia="zh-CN"/>
        </w:rPr>
        <w:t xml:space="preserve"> effective in enhancing students' speaking </w:t>
      </w:r>
      <w:r w:rsidRPr="00A26C73">
        <w:rPr>
          <w:rFonts w:ascii="Times New Roman" w:eastAsia="SimSun" w:hAnsi="Times New Roman"/>
          <w:szCs w:val="24"/>
          <w:lang w:val="id-ID" w:eastAsia="zh-CN"/>
        </w:rPr>
        <w:t>skills</w:t>
      </w:r>
      <w:r w:rsidRPr="00A26C73">
        <w:rPr>
          <w:rFonts w:ascii="Times New Roman" w:eastAsia="SimSun" w:hAnsi="Times New Roman"/>
          <w:szCs w:val="24"/>
          <w:lang w:eastAsia="zh-CN"/>
        </w:rPr>
        <w:t xml:space="preserve">. The findings of the </w:t>
      </w:r>
      <w:r w:rsidRPr="00A26C73">
        <w:rPr>
          <w:rFonts w:ascii="Times New Roman" w:eastAsia="SimSun" w:hAnsi="Times New Roman"/>
          <w:szCs w:val="24"/>
          <w:lang w:val="id-ID" w:eastAsia="zh-CN"/>
        </w:rPr>
        <w:t>research</w:t>
      </w:r>
      <w:r w:rsidRPr="00A26C73">
        <w:rPr>
          <w:rFonts w:ascii="Times New Roman" w:eastAsia="SimSun" w:hAnsi="Times New Roman"/>
          <w:szCs w:val="24"/>
          <w:lang w:eastAsia="zh-CN"/>
        </w:rPr>
        <w:t xml:space="preserve"> indicate</w:t>
      </w:r>
      <w:r w:rsidRPr="00A26C73">
        <w:rPr>
          <w:rFonts w:ascii="Times New Roman" w:eastAsia="SimSun" w:hAnsi="Times New Roman"/>
          <w:szCs w:val="24"/>
          <w:lang w:val="id-ID" w:eastAsia="zh-CN"/>
        </w:rPr>
        <w:t>d</w:t>
      </w:r>
      <w:r w:rsidRPr="00A26C73">
        <w:rPr>
          <w:rFonts w:ascii="Times New Roman" w:eastAsia="SimSun" w:hAnsi="Times New Roman"/>
          <w:szCs w:val="24"/>
          <w:lang w:eastAsia="zh-CN"/>
        </w:rPr>
        <w:t xml:space="preserve"> that this strategy help</w:t>
      </w:r>
      <w:r w:rsidRPr="00A26C73">
        <w:rPr>
          <w:rFonts w:ascii="Times New Roman" w:eastAsia="SimSun" w:hAnsi="Times New Roman"/>
          <w:szCs w:val="24"/>
          <w:lang w:val="id-ID" w:eastAsia="zh-CN"/>
        </w:rPr>
        <w:t>ed</w:t>
      </w:r>
      <w:r w:rsidRPr="00A26C73">
        <w:rPr>
          <w:rFonts w:ascii="Times New Roman" w:eastAsia="SimSun" w:hAnsi="Times New Roman"/>
          <w:szCs w:val="24"/>
          <w:lang w:eastAsia="zh-CN"/>
        </w:rPr>
        <w:t xml:space="preserve"> students </w:t>
      </w:r>
      <w:r w:rsidRPr="00A26C73">
        <w:rPr>
          <w:rFonts w:ascii="Times New Roman" w:eastAsia="SimSun" w:hAnsi="Times New Roman"/>
          <w:szCs w:val="24"/>
          <w:lang w:val="id-ID" w:eastAsia="zh-CN"/>
        </w:rPr>
        <w:t>to</w:t>
      </w:r>
      <w:r w:rsidRPr="00A26C73">
        <w:rPr>
          <w:rFonts w:ascii="Times New Roman" w:eastAsia="SimSun" w:hAnsi="Times New Roman"/>
          <w:szCs w:val="24"/>
          <w:lang w:val="id-ID" w:eastAsia="zh-CN"/>
        </w:rPr>
        <w:t xml:space="preserve"> </w:t>
      </w:r>
      <w:r w:rsidRPr="00A26C73">
        <w:rPr>
          <w:rFonts w:ascii="Times New Roman" w:eastAsia="SimSun" w:hAnsi="Times New Roman"/>
          <w:szCs w:val="24"/>
          <w:lang w:eastAsia="zh-CN"/>
        </w:rPr>
        <w:t>acquire new information such as English phrases and expressions, and improves their pronunciation accuracy and interaction among peers during the learning process. This strategy can also serve as a reference for teachers in classroom teaching by integrating instructional media in each treatment.</w:t>
      </w:r>
    </w:p>
    <w:p w:rsidR="00A26C73" w:rsidRPr="00A26C73" w:rsidP="00A26C73" w14:paraId="0B117E65" w14:textId="77777777">
      <w:pPr>
        <w:spacing w:after="0"/>
        <w:ind w:firstLine="284"/>
        <w:jc w:val="both"/>
        <w:rPr>
          <w:rFonts w:ascii="Times New Roman" w:eastAsia="SimSun" w:hAnsi="Times New Roman"/>
          <w:szCs w:val="24"/>
          <w:lang w:eastAsia="zh-CN"/>
        </w:rPr>
      </w:pPr>
      <w:r w:rsidRPr="00A26C73">
        <w:rPr>
          <w:rFonts w:ascii="Times New Roman" w:eastAsia="SimSun" w:hAnsi="Times New Roman"/>
          <w:szCs w:val="24"/>
          <w:lang w:eastAsia="zh-CN"/>
        </w:rPr>
        <w:t xml:space="preserve">a significant improvement in speaking </w:t>
      </w:r>
      <w:r w:rsidRPr="00A26C73">
        <w:rPr>
          <w:rFonts w:ascii="Times New Roman" w:eastAsia="SimSun" w:hAnsi="Times New Roman"/>
          <w:szCs w:val="24"/>
          <w:lang w:val="id-ID" w:eastAsia="zh-CN"/>
        </w:rPr>
        <w:t>skills</w:t>
      </w:r>
      <w:r w:rsidRPr="00A26C73">
        <w:rPr>
          <w:rFonts w:ascii="Times New Roman" w:eastAsia="SimSun" w:hAnsi="Times New Roman"/>
          <w:szCs w:val="24"/>
          <w:lang w:val="id-ID" w:eastAsia="zh-CN"/>
        </w:rPr>
        <w:t xml:space="preserve"> </w:t>
      </w:r>
      <w:r w:rsidRPr="00A26C73">
        <w:rPr>
          <w:rFonts w:ascii="Times New Roman" w:eastAsia="SimSun" w:hAnsi="Times New Roman"/>
          <w:szCs w:val="24"/>
          <w:lang w:val="id-ID" w:eastAsia="zh-CN"/>
        </w:rPr>
        <w:t>was</w:t>
      </w:r>
      <w:r w:rsidRPr="00A26C73">
        <w:rPr>
          <w:rFonts w:ascii="Times New Roman" w:eastAsia="SimSun" w:hAnsi="Times New Roman"/>
          <w:szCs w:val="24"/>
          <w:lang w:val="id-ID" w:eastAsia="zh-CN"/>
        </w:rPr>
        <w:t xml:space="preserve"> </w:t>
      </w:r>
      <w:r w:rsidRPr="00A26C73">
        <w:rPr>
          <w:rFonts w:ascii="Times New Roman" w:eastAsia="SimSun" w:hAnsi="Times New Roman"/>
          <w:szCs w:val="24"/>
          <w:lang w:val="id-ID" w:eastAsia="zh-CN"/>
        </w:rPr>
        <w:t>proved</w:t>
      </w:r>
      <w:r w:rsidRPr="00A26C73">
        <w:rPr>
          <w:rFonts w:ascii="Times New Roman" w:eastAsia="SimSun" w:hAnsi="Times New Roman"/>
          <w:szCs w:val="24"/>
          <w:lang w:eastAsia="zh-CN"/>
        </w:rPr>
        <w:t xml:space="preserve"> after implementing the Community Circle Strategy. The average post-test score (70.00) is higher compared to the pre-test score (35.00). In conclusion, teaching speaking skills through the Community Circle Strategy proves effective in enhancing the speaking ability of tenth-grade students at MA Al Balagh </w:t>
      </w:r>
      <w:r w:rsidRPr="00A26C73">
        <w:rPr>
          <w:rFonts w:ascii="Times New Roman" w:eastAsia="SimSun" w:hAnsi="Times New Roman"/>
          <w:szCs w:val="24"/>
          <w:lang w:eastAsia="zh-CN"/>
        </w:rPr>
        <w:t>Bulutigo</w:t>
      </w:r>
      <w:r w:rsidRPr="00A26C73">
        <w:rPr>
          <w:rFonts w:ascii="Times New Roman" w:eastAsia="SimSun" w:hAnsi="Times New Roman"/>
          <w:szCs w:val="24"/>
          <w:lang w:eastAsia="zh-CN"/>
        </w:rPr>
        <w:t>. The t-test results show significance with p (0.000) &lt; α (0.05). Given that the significance value is below 0.05, there is insufficient evidence to reject the null hypothesis (H0); therefore, the alternative hypothesis (Ha) was accepted. It can be indicated a significant improvement in students' speaking ability following the treatment.</w:t>
      </w:r>
    </w:p>
    <w:p w:rsidR="00A26C73" w:rsidRPr="00A26C73" w:rsidP="003134CE" w14:paraId="404215D3" w14:textId="77777777">
      <w:pPr>
        <w:spacing w:after="0"/>
        <w:ind w:firstLine="284"/>
        <w:jc w:val="both"/>
        <w:rPr>
          <w:rFonts w:ascii="Times New Roman" w:eastAsia="SimSun" w:hAnsi="Times New Roman"/>
          <w:szCs w:val="24"/>
          <w:lang w:eastAsia="zh-CN"/>
        </w:rPr>
      </w:pPr>
    </w:p>
    <w:p w:rsidR="003134CE" w:rsidP="003134CE" w14:paraId="05923626" w14:textId="77777777">
      <w:pPr>
        <w:spacing w:after="0"/>
        <w:ind w:firstLine="284"/>
        <w:jc w:val="both"/>
        <w:rPr>
          <w:rFonts w:ascii="Times New Roman" w:eastAsia="SimSun" w:hAnsi="Times New Roman"/>
          <w:szCs w:val="24"/>
          <w:lang w:val="en-AU" w:eastAsia="zh-CN"/>
        </w:rPr>
      </w:pPr>
    </w:p>
    <w:p w:rsidR="003134CE" w:rsidRPr="004D28FB" w:rsidP="003134CE" w14:paraId="39E8F130" w14:textId="308599F4">
      <w:pPr>
        <w:pStyle w:val="IEEEHeading2"/>
        <w:numPr>
          <w:ilvl w:val="0"/>
          <w:numId w:val="0"/>
        </w:numPr>
        <w:jc w:val="center"/>
        <w:rPr>
          <w:b/>
          <w:i w:val="0"/>
          <w:sz w:val="22"/>
          <w:szCs w:val="20"/>
          <w:lang w:val="en-US"/>
        </w:rPr>
      </w:pPr>
      <w:r>
        <w:rPr>
          <w:b/>
          <w:i w:val="0"/>
          <w:sz w:val="22"/>
          <w:szCs w:val="20"/>
          <w:lang w:val="en-US"/>
        </w:rPr>
        <w:t>REFERENCES</w:t>
      </w:r>
    </w:p>
    <w:bookmarkEnd w:id="3" w:displacedByCustomXml="next"/>
    <w:sdt>
      <w:sdtPr>
        <w:rPr>
          <w:rFonts w:ascii="Calibri" w:hAnsi="Calibri"/>
          <w:sz w:val="22"/>
          <w:szCs w:val="22"/>
        </w:rPr>
        <w:id w:val="2028049670"/>
        <w:bibliography/>
      </w:sdtPr>
      <w:sdtContent>
        <w:p w:rsidR="00A26C73" w:rsidRPr="00A26C73" w:rsidP="00A26C73" w14:paraId="416FF4FD"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fldChar w:fldCharType="begin"/>
          </w:r>
          <w:r w:rsidRPr="00A26C73">
            <w:instrText xml:space="preserve"> BIBLIOGRAPHY </w:instrText>
          </w:r>
          <w:r w:rsidRPr="00A26C73">
            <w:fldChar w:fldCharType="separate"/>
          </w:r>
          <w:r w:rsidRPr="00A26C73">
            <w:rPr>
              <w:sz w:val="22"/>
              <w:szCs w:val="22"/>
              <w:lang w:val="id-ID"/>
            </w:rPr>
            <w:t>Babbie, E. (2010). The Practice of Social Research (Twelve ed) . Wadsworth Cengage Learning, 232.</w:t>
          </w:r>
        </w:p>
        <w:p w:rsidR="00A26C73" w:rsidRPr="00A26C73" w:rsidP="00A26C73" w14:paraId="7F166EA4"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rPr>
              <w:sz w:val="22"/>
              <w:szCs w:val="22"/>
              <w:lang w:val="id-ID"/>
            </w:rPr>
            <w:t>Brown, H. D. (2004). Language Assessment; Principles and Classroom Practice. New York: Longman.</w:t>
          </w:r>
        </w:p>
        <w:p w:rsidR="00A26C73" w:rsidRPr="00A26C73" w:rsidP="00A26C73" w14:paraId="1A9F7687"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rPr>
              <w:sz w:val="22"/>
              <w:szCs w:val="22"/>
              <w:lang w:val="id-ID"/>
            </w:rPr>
            <w:t>Bucci, D. C. (2017). Community Circlesand Collaboration: The First 10 Days .</w:t>
          </w:r>
        </w:p>
        <w:p w:rsidR="00A26C73" w:rsidRPr="00A26C73" w:rsidP="00A26C73" w14:paraId="7292D0B6"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rPr>
              <w:sz w:val="22"/>
              <w:szCs w:val="22"/>
              <w:lang w:val="id-ID"/>
            </w:rPr>
            <w:t>Goh, C. (2017). Research into Practice: Scaffolding learning processes to improve speaking performance. Language Teaching. 247-260.</w:t>
          </w:r>
        </w:p>
        <w:p w:rsidR="00A26C73" w:rsidRPr="00A26C73" w:rsidP="00A26C73" w14:paraId="055DD4C0"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rPr>
              <w:sz w:val="22"/>
              <w:szCs w:val="22"/>
              <w:lang w:val="id-ID"/>
            </w:rPr>
            <w:t>Goleman, R. R. (2011). Cómo y por qué prosocializar la atención sanitaria: reflexiones, des-afíos y propuestas. Conclusiones del Proyecto Europeo CHANGE.</w:t>
          </w:r>
        </w:p>
        <w:p w:rsidR="00A26C73" w:rsidRPr="00A26C73" w:rsidP="00A26C73" w14:paraId="7BB77C53"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rPr>
              <w:sz w:val="22"/>
              <w:szCs w:val="22"/>
              <w:lang w:val="id-ID"/>
            </w:rPr>
            <w:t>Jack, C. R. (2008). Teaching Listening and Speaking from Theory to Practice. Cambridge University, 30.</w:t>
          </w:r>
        </w:p>
        <w:p w:rsidR="00A26C73" w:rsidRPr="00A26C73" w:rsidP="00A26C73" w14:paraId="49296D4B"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rPr>
              <w:sz w:val="22"/>
              <w:szCs w:val="22"/>
              <w:lang w:val="id-ID"/>
            </w:rPr>
            <w:t>Louis Cohen, L. M. (2007). Research Methods in Education. London.</w:t>
          </w:r>
        </w:p>
        <w:p w:rsidR="00A26C73" w:rsidRPr="00A26C73" w:rsidP="00A26C73" w14:paraId="5552BAE0"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rPr>
              <w:sz w:val="22"/>
              <w:szCs w:val="22"/>
              <w:lang w:val="id-ID"/>
            </w:rPr>
            <w:t>M., P. (2021). COMMUNITY CIRCLE AS A TEACHING STRATEGY FOR THE DEVELOPMENT OF PROSOCIAL DIALOGUE IN A FAMILY- TYPE PRIMARY SCHOOL. EduPort, 11-15.</w:t>
          </w:r>
        </w:p>
        <w:p w:rsidR="00A26C73" w:rsidRPr="00A26C73" w:rsidP="00A26C73" w14:paraId="61D7FB0A" w14:textId="77777777">
          <w:pPr>
            <w:pStyle w:val="List2"/>
            <w:tabs>
              <w:tab w:val="left" w:pos="855"/>
              <w:tab w:val="left" w:pos="1140"/>
              <w:tab w:val="left" w:pos="1425"/>
              <w:tab w:val="left" w:pos="1710"/>
              <w:tab w:val="left" w:pos="1995"/>
              <w:tab w:val="left" w:pos="2280"/>
              <w:tab w:val="left" w:pos="2565"/>
              <w:tab w:val="left" w:pos="2850"/>
            </w:tabs>
            <w:ind w:left="567" w:hanging="567"/>
            <w:jc w:val="both"/>
            <w:rPr>
              <w:sz w:val="22"/>
              <w:szCs w:val="22"/>
              <w:lang w:val="id-ID"/>
            </w:rPr>
          </w:pPr>
          <w:r w:rsidRPr="00A26C73">
            <w:rPr>
              <w:sz w:val="22"/>
              <w:szCs w:val="22"/>
              <w:lang w:val="id-ID"/>
            </w:rPr>
            <w:t>Rao, S. P. (2019). The Importance of Speaking Skill in English Classroom. Alford Council of International English &amp; Literature Journal(ACIELJ), 8., 8.</w:t>
          </w:r>
        </w:p>
        <w:p w:rsidR="00A26C73" w:rsidP="00A26C73" w14:paraId="46E41DE4" w14:textId="77777777">
          <w:pPr>
            <w:spacing w:after="0" w:line="276" w:lineRule="auto"/>
            <w:jc w:val="both"/>
            <w:rPr>
              <w:rFonts w:ascii="Times New Roman" w:hAnsi="Times New Roman"/>
            </w:rPr>
          </w:pPr>
        </w:p>
        <w:p w:rsidR="00A26C73" w:rsidP="00A26C73" w14:paraId="2DAC8FE5" w14:textId="77777777">
          <w:pPr>
            <w:spacing w:after="0" w:line="276" w:lineRule="auto"/>
            <w:jc w:val="both"/>
            <w:rPr>
              <w:rFonts w:ascii="Times New Roman" w:hAnsi="Times New Roman"/>
            </w:rPr>
          </w:pPr>
        </w:p>
        <w:p w:rsidR="003134CE" w:rsidRPr="003134CE" w:rsidP="00A26C73" w14:paraId="3CC5AA22" w14:textId="6EA1C10D">
          <w:pPr>
            <w:spacing w:after="0" w:line="276" w:lineRule="auto"/>
            <w:jc w:val="both"/>
            <w:rPr>
              <w:rFonts w:ascii="Times New Roman" w:hAnsi="Times New Roman"/>
            </w:rPr>
          </w:pPr>
          <w:r w:rsidRPr="00A26C73">
            <w:rPr>
              <w:rFonts w:ascii="Times New Roman" w:hAnsi="Times New Roman"/>
              <w:lang w:val="id-ID"/>
            </w:rPr>
            <w:fldChar w:fldCharType="end"/>
          </w:r>
        </w:p>
      </w:sdtContent>
    </w:sdt>
    <w:sectPr w:rsidSect="0037268D">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226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3621131"/>
      <w:docPartObj>
        <w:docPartGallery w:val="Page Numbers (Bottom of Page)"/>
        <w:docPartUnique/>
      </w:docPartObj>
    </w:sdtPr>
    <w:sdtEndPr>
      <w:rPr>
        <w:noProof/>
      </w:rPr>
    </w:sdtEndPr>
    <w:sdtContent>
      <w:p w:rsidR="0099286F" w14:paraId="2C7BADFA" w14:textId="2F2BCD84">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99286F" w14:paraId="41AE24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9535436"/>
      <w:docPartObj>
        <w:docPartGallery w:val="Page Numbers (Bottom of Page)"/>
        <w:docPartUnique/>
      </w:docPartObj>
    </w:sdtPr>
    <w:sdtEndPr>
      <w:rPr>
        <w:noProof/>
      </w:rPr>
    </w:sdtEndPr>
    <w:sdtContent>
      <w:p w:rsidR="00666426" w14:paraId="68008154" w14:textId="1CC961E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666426" w14:paraId="554377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0982546"/>
      <w:docPartObj>
        <w:docPartGallery w:val="Page Numbers (Bottom of Page)"/>
        <w:docPartUnique/>
      </w:docPartObj>
    </w:sdtPr>
    <w:sdtEndPr>
      <w:rPr>
        <w:noProof/>
      </w:rPr>
    </w:sdtEndPr>
    <w:sdtContent>
      <w:p w:rsidR="0099286F" w14:paraId="7959C923" w14:textId="5F4D06C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0648C" w14:paraId="4AA884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837" w:rsidRPr="00B34450" w:rsidP="0037268D" w14:paraId="41BBAAB9" w14:textId="269ED218">
    <w:pPr>
      <w:pStyle w:val="NoSpacing"/>
      <w:ind w:left="1985"/>
      <w:jc w:val="both"/>
      <w:rPr>
        <w:rFonts w:ascii="Times New Roman" w:hAnsi="Times New Roman"/>
        <w:i/>
      </w:rPr>
    </w:pPr>
    <w:r>
      <w:rPr>
        <w:rFonts w:ascii="Times New Roman" w:hAnsi="Times New Roman"/>
        <w:i/>
      </w:rPr>
      <w:t>Khofifah</w:t>
    </w:r>
    <w:r w:rsidR="0037268D">
      <w:rPr>
        <w:rFonts w:ascii="Times New Roman" w:hAnsi="Times New Roman"/>
        <w:i/>
      </w:rPr>
      <w:t>.,et</w:t>
    </w:r>
    <w:r w:rsidR="0037268D">
      <w:rPr>
        <w:rFonts w:ascii="Times New Roman" w:hAnsi="Times New Roman"/>
        <w:i/>
      </w:rPr>
      <w:t xml:space="preserve"> al,. </w:t>
    </w:r>
    <w:r w:rsidRPr="00904770" w:rsidR="0037268D">
      <w:rPr>
        <w:rFonts w:ascii="Times New Roman" w:hAnsi="Times New Roman"/>
        <w:i/>
      </w:rPr>
      <w:t>The effectiveness of community circle strategy</w:t>
    </w:r>
    <w:r w:rsidR="0037268D">
      <w:rPr>
        <w:rFonts w:ascii="Times New Roman" w:hAnsi="Times New Roman"/>
        <w:i/>
      </w:rPr>
      <w:t>..</w:t>
    </w:r>
  </w:p>
  <w:p w:rsidR="00C43837" w14:paraId="55FE11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68D" w:rsidRPr="006B7746" w:rsidP="0037268D" w14:paraId="4FB8F624" w14:textId="29F0DAB9">
    <w:pPr>
      <w:spacing w:before="10" w:line="256" w:lineRule="auto"/>
      <w:ind w:left="-567"/>
      <w:rPr>
        <w:i/>
      </w:rPr>
    </w:pPr>
    <w:r w:rsidRPr="006B7746">
      <w:rPr>
        <w:rFonts w:ascii="Times New Roman" w:hAnsi="Times New Roman"/>
        <w:b/>
      </w:rPr>
      <w:t>KARANGAN:</w:t>
    </w:r>
    <w:r>
      <w:rPr>
        <w:spacing w:val="17"/>
      </w:rPr>
      <w:t xml:space="preserve"> </w:t>
    </w:r>
    <w:r w:rsidRPr="006B7746">
      <w:rPr>
        <w:rFonts w:ascii="Times New Roman" w:hAnsi="Times New Roman"/>
        <w:i/>
      </w:rPr>
      <w:t>Jurnal</w:t>
    </w:r>
    <w:r w:rsidRPr="006B7746">
      <w:rPr>
        <w:rFonts w:ascii="Times New Roman" w:hAnsi="Times New Roman"/>
        <w:i/>
      </w:rPr>
      <w:t xml:space="preserve"> </w:t>
    </w:r>
    <w:r w:rsidRPr="006B7746">
      <w:rPr>
        <w:rFonts w:ascii="Times New Roman" w:hAnsi="Times New Roman"/>
        <w:i/>
      </w:rPr>
      <w:t>Kependidikan</w:t>
    </w:r>
    <w:r w:rsidRPr="006B7746">
      <w:rPr>
        <w:rFonts w:ascii="Times New Roman" w:hAnsi="Times New Roman"/>
        <w:i/>
      </w:rPr>
      <w:t xml:space="preserve">, </w:t>
    </w:r>
    <w:r w:rsidRPr="006B7746">
      <w:rPr>
        <w:rFonts w:ascii="Times New Roman" w:hAnsi="Times New Roman"/>
        <w:i/>
      </w:rPr>
      <w:t>Pembelajaran</w:t>
    </w:r>
    <w:r w:rsidRPr="006B7746">
      <w:rPr>
        <w:rFonts w:ascii="Times New Roman" w:hAnsi="Times New Roman"/>
        <w:i/>
      </w:rPr>
      <w:t xml:space="preserve">, dan </w:t>
    </w:r>
    <w:r w:rsidRPr="006B7746">
      <w:rPr>
        <w:rFonts w:ascii="Times New Roman" w:hAnsi="Times New Roman"/>
        <w:i/>
      </w:rPr>
      <w:t>Pengembangan</w:t>
    </w:r>
    <w:r w:rsidRPr="006B7746">
      <w:rPr>
        <w:rFonts w:ascii="Times New Roman" w:hAnsi="Times New Roman"/>
        <w:i/>
      </w:rPr>
      <w:t>, Vol 0</w:t>
    </w:r>
    <w:r>
      <w:rPr>
        <w:rFonts w:ascii="Times New Roman" w:hAnsi="Times New Roman"/>
        <w:i/>
      </w:rPr>
      <w:t>6</w:t>
    </w:r>
    <w:r w:rsidRPr="006B7746">
      <w:rPr>
        <w:rFonts w:ascii="Times New Roman" w:hAnsi="Times New Roman"/>
        <w:i/>
      </w:rPr>
      <w:t>, No 0</w:t>
    </w:r>
    <w:r>
      <w:rPr>
        <w:rFonts w:ascii="Times New Roman" w:hAnsi="Times New Roman"/>
        <w:i/>
      </w:rPr>
      <w:t>2</w:t>
    </w:r>
    <w:r w:rsidRPr="006B7746">
      <w:rPr>
        <w:rFonts w:ascii="Times New Roman" w:hAnsi="Times New Roman"/>
        <w:i/>
      </w:rPr>
      <w:t xml:space="preserve">, </w:t>
    </w:r>
    <w:r w:rsidRPr="006B7746">
      <w:rPr>
        <w:rFonts w:ascii="Times New Roman" w:hAnsi="Times New Roman"/>
        <w:i/>
      </w:rPr>
      <w:t>Bln</w:t>
    </w:r>
    <w:r w:rsidRPr="006B7746">
      <w:rPr>
        <w:rFonts w:ascii="Times New Roman" w:hAnsi="Times New Roman"/>
        <w:i/>
      </w:rPr>
      <w:t xml:space="preserve"> </w:t>
    </w:r>
    <w:r>
      <w:rPr>
        <w:rFonts w:ascii="Times New Roman" w:hAnsi="Times New Roman"/>
        <w:i/>
      </w:rPr>
      <w:t>Sept</w:t>
    </w:r>
    <w:r w:rsidRPr="006B7746">
      <w:rPr>
        <w:rFonts w:ascii="Times New Roman" w:hAnsi="Times New Roman"/>
        <w:i/>
      </w:rPr>
      <w:t xml:space="preserve">, </w:t>
    </w:r>
    <w:r w:rsidRPr="006B7746">
      <w:rPr>
        <w:rFonts w:ascii="Times New Roman" w:hAnsi="Times New Roman"/>
        <w:i/>
      </w:rPr>
      <w:t>Tahun</w:t>
    </w:r>
    <w:r w:rsidRPr="006B7746">
      <w:rPr>
        <w:rFonts w:ascii="Times New Roman" w:hAnsi="Times New Roman"/>
        <w:i/>
      </w:rPr>
      <w:t xml:space="preserve"> 202</w:t>
    </w:r>
    <w:r>
      <w:rPr>
        <w:rFonts w:ascii="Times New Roman" w:hAnsi="Times New Roman"/>
        <w:i/>
      </w:rPr>
      <w:t>4</w:t>
    </w:r>
    <w:r w:rsidRPr="006B7746">
      <w:rPr>
        <w:rFonts w:ascii="Times New Roman" w:hAnsi="Times New Roman"/>
        <w:i/>
      </w:rPr>
      <w:t xml:space="preserve">, Hal </w:t>
    </w:r>
    <w:r>
      <w:rPr>
        <w:rFonts w:ascii="Times New Roman" w:hAnsi="Times New Roman"/>
        <w:i/>
      </w:rPr>
      <w:t>1-7</w:t>
    </w:r>
  </w:p>
  <w:p w:rsidR="0037268D" w:rsidRPr="003A7D75" w:rsidP="0037268D" w14:paraId="05C7B0DA" w14:textId="77777777">
    <w:pPr>
      <w:pStyle w:val="NoSpacing"/>
      <w:tabs>
        <w:tab w:val="left" w:pos="5954"/>
      </w:tabs>
      <w:ind w:left="-567"/>
      <w:rPr>
        <w:rFonts w:ascii="Times New Roman" w:hAnsi="Times New Roman"/>
        <w:lang w:val="id-ID"/>
      </w:rPr>
    </w:pPr>
    <w:r>
      <w:rPr>
        <w:rFonts w:ascii="Times New Roman" w:hAnsi="Times New Roman"/>
      </w:rPr>
      <w:tab/>
    </w:r>
    <w:r w:rsidRPr="003A7D75">
      <w:rPr>
        <w:rFonts w:ascii="Times New Roman" w:hAnsi="Times New Roman"/>
        <w:lang w:val="id-ID"/>
      </w:rPr>
      <w:t>E-ISSN: 2715-9051</w:t>
    </w:r>
  </w:p>
  <w:p w:rsidR="0037268D" w:rsidRPr="008B2723" w:rsidP="0037268D" w14:paraId="58D852A4" w14:textId="77777777">
    <w:pPr>
      <w:pStyle w:val="NoSpacing"/>
      <w:tabs>
        <w:tab w:val="left" w:pos="5954"/>
      </w:tabs>
      <w:ind w:left="-567"/>
      <w:rPr>
        <w:rFonts w:ascii="Times New Roman" w:hAnsi="Times New Roman"/>
        <w:lang w:val="id-ID"/>
      </w:rPr>
    </w:pPr>
    <w:r w:rsidRPr="003A7D75">
      <w:rPr>
        <w:rFonts w:ascii="Times New Roman" w:hAnsi="Times New Roman"/>
        <w:lang w:val="id-ID"/>
      </w:rPr>
      <w:t>Doi: https://doi.org/10.55273/karangan.v3i1.</w:t>
    </w:r>
    <w:r>
      <w:rPr>
        <w:rFonts w:ascii="Times New Roman" w:hAnsi="Times New Roman"/>
        <w:lang w:val="id-ID"/>
      </w:rPr>
      <w:t>22</w:t>
    </w:r>
    <w:r>
      <w:rPr>
        <w:rFonts w:ascii="Times New Roman" w:hAnsi="Times New Roman"/>
      </w:rPr>
      <w:t>3</w:t>
    </w:r>
    <w:r>
      <w:rPr>
        <w:rFonts w:ascii="Times New Roman" w:hAnsi="Times New Roman"/>
        <w:lang w:val="id-ID"/>
      </w:rPr>
      <w:tab/>
      <w:t>P-ISSN : 2656-1832</w:t>
    </w:r>
  </w:p>
  <w:p w:rsidR="003134CE" w:rsidRPr="003134CE" w14:paraId="74B7D7D7" w14:textId="77777777">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837" w:rsidRPr="006B7746" w:rsidP="00C43837" w14:paraId="058A5C5B" w14:textId="008FDBD3">
    <w:pPr>
      <w:spacing w:before="10" w:line="256" w:lineRule="auto"/>
      <w:ind w:left="-567"/>
      <w:rPr>
        <w:i/>
      </w:rPr>
    </w:pPr>
    <w:r w:rsidRPr="006B7746">
      <w:rPr>
        <w:rFonts w:ascii="Times New Roman" w:hAnsi="Times New Roman"/>
        <w:b/>
      </w:rPr>
      <w:t>KARANGAN:</w:t>
    </w:r>
    <w:r>
      <w:rPr>
        <w:spacing w:val="17"/>
      </w:rPr>
      <w:t xml:space="preserve"> </w:t>
    </w:r>
    <w:r w:rsidRPr="006B7746">
      <w:rPr>
        <w:rFonts w:ascii="Times New Roman" w:hAnsi="Times New Roman"/>
        <w:i/>
      </w:rPr>
      <w:t>Jurnal</w:t>
    </w:r>
    <w:r w:rsidRPr="006B7746">
      <w:rPr>
        <w:rFonts w:ascii="Times New Roman" w:hAnsi="Times New Roman"/>
        <w:i/>
      </w:rPr>
      <w:t xml:space="preserve"> </w:t>
    </w:r>
    <w:r w:rsidRPr="006B7746">
      <w:rPr>
        <w:rFonts w:ascii="Times New Roman" w:hAnsi="Times New Roman"/>
        <w:i/>
      </w:rPr>
      <w:t>Kependidikan</w:t>
    </w:r>
    <w:r w:rsidRPr="006B7746">
      <w:rPr>
        <w:rFonts w:ascii="Times New Roman" w:hAnsi="Times New Roman"/>
        <w:i/>
      </w:rPr>
      <w:t xml:space="preserve">, </w:t>
    </w:r>
    <w:r w:rsidRPr="006B7746">
      <w:rPr>
        <w:rFonts w:ascii="Times New Roman" w:hAnsi="Times New Roman"/>
        <w:i/>
      </w:rPr>
      <w:t>Pembelajaran</w:t>
    </w:r>
    <w:r w:rsidRPr="006B7746">
      <w:rPr>
        <w:rFonts w:ascii="Times New Roman" w:hAnsi="Times New Roman"/>
        <w:i/>
      </w:rPr>
      <w:t xml:space="preserve">, dan </w:t>
    </w:r>
    <w:r w:rsidRPr="006B7746">
      <w:rPr>
        <w:rFonts w:ascii="Times New Roman" w:hAnsi="Times New Roman"/>
        <w:i/>
      </w:rPr>
      <w:t>Pengembangan</w:t>
    </w:r>
    <w:r w:rsidRPr="006B7746">
      <w:rPr>
        <w:rFonts w:ascii="Times New Roman" w:hAnsi="Times New Roman"/>
        <w:i/>
      </w:rPr>
      <w:t>, Vol 0</w:t>
    </w:r>
    <w:r w:rsidR="00904770">
      <w:rPr>
        <w:rFonts w:ascii="Times New Roman" w:hAnsi="Times New Roman"/>
        <w:i/>
      </w:rPr>
      <w:t>6</w:t>
    </w:r>
    <w:r w:rsidRPr="006B7746">
      <w:rPr>
        <w:rFonts w:ascii="Times New Roman" w:hAnsi="Times New Roman"/>
        <w:i/>
      </w:rPr>
      <w:t>, No 0</w:t>
    </w:r>
    <w:r>
      <w:rPr>
        <w:rFonts w:ascii="Times New Roman" w:hAnsi="Times New Roman"/>
        <w:i/>
      </w:rPr>
      <w:t>2</w:t>
    </w:r>
    <w:r w:rsidRPr="006B7746">
      <w:rPr>
        <w:rFonts w:ascii="Times New Roman" w:hAnsi="Times New Roman"/>
        <w:i/>
      </w:rPr>
      <w:t xml:space="preserve">, </w:t>
    </w:r>
    <w:r w:rsidRPr="006B7746">
      <w:rPr>
        <w:rFonts w:ascii="Times New Roman" w:hAnsi="Times New Roman"/>
        <w:i/>
      </w:rPr>
      <w:t>Bln</w:t>
    </w:r>
    <w:r w:rsidRPr="006B7746">
      <w:rPr>
        <w:rFonts w:ascii="Times New Roman" w:hAnsi="Times New Roman"/>
        <w:i/>
      </w:rPr>
      <w:t xml:space="preserve"> </w:t>
    </w:r>
    <w:r>
      <w:rPr>
        <w:rFonts w:ascii="Times New Roman" w:hAnsi="Times New Roman"/>
        <w:i/>
      </w:rPr>
      <w:t>Sept</w:t>
    </w:r>
    <w:r w:rsidRPr="006B7746">
      <w:rPr>
        <w:rFonts w:ascii="Times New Roman" w:hAnsi="Times New Roman"/>
        <w:i/>
      </w:rPr>
      <w:t xml:space="preserve">, </w:t>
    </w:r>
    <w:r w:rsidRPr="006B7746">
      <w:rPr>
        <w:rFonts w:ascii="Times New Roman" w:hAnsi="Times New Roman"/>
        <w:i/>
      </w:rPr>
      <w:t>Tahun</w:t>
    </w:r>
    <w:r w:rsidRPr="006B7746">
      <w:rPr>
        <w:rFonts w:ascii="Times New Roman" w:hAnsi="Times New Roman"/>
        <w:i/>
      </w:rPr>
      <w:t xml:space="preserve"> 202</w:t>
    </w:r>
    <w:r w:rsidR="00904770">
      <w:rPr>
        <w:rFonts w:ascii="Times New Roman" w:hAnsi="Times New Roman"/>
        <w:i/>
      </w:rPr>
      <w:t>4</w:t>
    </w:r>
    <w:r w:rsidRPr="006B7746">
      <w:rPr>
        <w:rFonts w:ascii="Times New Roman" w:hAnsi="Times New Roman"/>
        <w:i/>
      </w:rPr>
      <w:t xml:space="preserve">, Hal </w:t>
    </w:r>
    <w:r w:rsidR="00904770">
      <w:rPr>
        <w:rFonts w:ascii="Times New Roman" w:hAnsi="Times New Roman"/>
        <w:i/>
      </w:rPr>
      <w:t>1</w:t>
    </w:r>
    <w:r>
      <w:rPr>
        <w:rFonts w:ascii="Times New Roman" w:hAnsi="Times New Roman"/>
        <w:i/>
      </w:rPr>
      <w:t>-</w:t>
    </w:r>
    <w:r w:rsidR="0037268D">
      <w:rPr>
        <w:rFonts w:ascii="Times New Roman" w:hAnsi="Times New Roman"/>
        <w:i/>
      </w:rPr>
      <w:t>7</w:t>
    </w:r>
  </w:p>
  <w:p w:rsidR="00C43837" w:rsidRPr="003A7D75" w:rsidP="00C43837" w14:paraId="2805B101" w14:textId="356A837E">
    <w:pPr>
      <w:pStyle w:val="NoSpacing"/>
      <w:tabs>
        <w:tab w:val="left" w:pos="5954"/>
      </w:tabs>
      <w:ind w:left="-567"/>
      <w:rPr>
        <w:rFonts w:ascii="Times New Roman" w:hAnsi="Times New Roman"/>
        <w:lang w:val="id-ID"/>
      </w:rPr>
    </w:pPr>
    <w:r>
      <w:rPr>
        <w:rFonts w:ascii="Times New Roman" w:hAnsi="Times New Roman"/>
      </w:rPr>
      <w:tab/>
    </w:r>
    <w:r w:rsidRPr="003A7D75">
      <w:rPr>
        <w:rFonts w:ascii="Times New Roman" w:hAnsi="Times New Roman"/>
        <w:lang w:val="id-ID"/>
      </w:rPr>
      <w:t>E-ISSN: 2715-9051</w:t>
    </w:r>
  </w:p>
  <w:p w:rsidR="00C43837" w:rsidRPr="008B2723" w:rsidP="00C43837" w14:paraId="7D6431B3" w14:textId="77777777">
    <w:pPr>
      <w:pStyle w:val="NoSpacing"/>
      <w:tabs>
        <w:tab w:val="left" w:pos="5954"/>
      </w:tabs>
      <w:ind w:left="-567"/>
      <w:rPr>
        <w:rFonts w:ascii="Times New Roman" w:hAnsi="Times New Roman"/>
        <w:lang w:val="id-ID"/>
      </w:rPr>
    </w:pPr>
    <w:r w:rsidRPr="003A7D75">
      <w:rPr>
        <w:rFonts w:ascii="Times New Roman" w:hAnsi="Times New Roman"/>
        <w:lang w:val="id-ID"/>
      </w:rPr>
      <w:t>Doi: https://doi.org/10.55273/karangan.v3i1.</w:t>
    </w:r>
    <w:r>
      <w:rPr>
        <w:rFonts w:ascii="Times New Roman" w:hAnsi="Times New Roman"/>
        <w:lang w:val="id-ID"/>
      </w:rPr>
      <w:t>22</w:t>
    </w:r>
    <w:r>
      <w:rPr>
        <w:rFonts w:ascii="Times New Roman" w:hAnsi="Times New Roman"/>
      </w:rPr>
      <w:t>3</w:t>
    </w:r>
    <w:r>
      <w:rPr>
        <w:rFonts w:ascii="Times New Roman" w:hAnsi="Times New Roman"/>
        <w:lang w:val="id-ID"/>
      </w:rPr>
      <w:tab/>
      <w:t>P-ISSN : 2656-1832</w:t>
    </w:r>
  </w:p>
  <w:p w:rsidR="0070648C" w:rsidRPr="00C43837" w:rsidP="001D0AB3" w14:paraId="4435B0F2" w14:textId="77777777">
    <w:pPr>
      <w:pStyle w:val="Header"/>
      <w:jc w:val="righ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Times New Roman"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C4E30E5"/>
    <w:multiLevelType w:val="hybridMultilevel"/>
    <w:tmpl w:val="B3F2D04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5922DC"/>
    <w:multiLevelType w:val="hybridMultilevel"/>
    <w:tmpl w:val="A67EB77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0FB55429"/>
    <w:multiLevelType w:val="hybridMultilevel"/>
    <w:tmpl w:val="24460BB6"/>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030025"/>
    <w:multiLevelType w:val="hybridMultilevel"/>
    <w:tmpl w:val="EAE87092"/>
    <w:lvl w:ilvl="0">
      <w:start w:val="1"/>
      <w:numFmt w:val="lowerLetter"/>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CD4168"/>
    <w:multiLevelType w:val="hybridMultilevel"/>
    <w:tmpl w:val="06E28B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9E1ECF"/>
    <w:multiLevelType w:val="hybridMultilevel"/>
    <w:tmpl w:val="15D859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8">
    <w:nsid w:val="2DD87790"/>
    <w:multiLevelType w:val="hybridMultilevel"/>
    <w:tmpl w:val="5EE4AE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8273D7"/>
    <w:multiLevelType w:val="multilevel"/>
    <w:tmpl w:val="9C8E938C"/>
    <w:numStyleLink w:val="IEEEBullet1"/>
  </w:abstractNum>
  <w:abstractNum w:abstractNumId="10">
    <w:nsid w:val="4735766D"/>
    <w:multiLevelType w:val="hybridMultilevel"/>
    <w:tmpl w:val="09820D42"/>
    <w:lvl w:ilvl="0">
      <w:start w:val="1"/>
      <w:numFmt w:val="decimal"/>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7B391B"/>
    <w:multiLevelType w:val="hybridMultilevel"/>
    <w:tmpl w:val="EDF4713C"/>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Times New Roman" w:hAnsi="Times New Roman" w:cs="Times New Roman" w:hint="default"/>
        <w:b w:val="0"/>
        <w:bCs/>
        <w:i/>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549532E2"/>
    <w:multiLevelType w:val="hybridMultilevel"/>
    <w:tmpl w:val="A094D4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15713"/>
    <w:multiLevelType w:val="hybridMultilevel"/>
    <w:tmpl w:val="944EF61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C246EE"/>
    <w:multiLevelType w:val="hybridMultilevel"/>
    <w:tmpl w:val="93908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EE069C"/>
    <w:multiLevelType w:val="hybridMultilevel"/>
    <w:tmpl w:val="82D2135A"/>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nsid w:val="631E4AE9"/>
    <w:multiLevelType w:val="hybridMultilevel"/>
    <w:tmpl w:val="B570FB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4F1D7F"/>
    <w:multiLevelType w:val="hybridMultilevel"/>
    <w:tmpl w:val="8FDA01AE"/>
    <w:lvl w:ilvl="0">
      <w:start w:val="1"/>
      <w:numFmt w:val="lowerLetter"/>
      <w:lvlText w:val="%1."/>
      <w:lvlJc w:val="left"/>
      <w:pPr>
        <w:ind w:left="360" w:hanging="360"/>
      </w:pPr>
      <w:rPr>
        <w:rFonts w:ascii="Times New Roman" w:eastAsia="Times New Roman" w:hAnsi="Times New Roman"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729537C"/>
    <w:multiLevelType w:val="hybridMultilevel"/>
    <w:tmpl w:val="8268454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2">
    <w:nsid w:val="77A960A9"/>
    <w:multiLevelType w:val="hybridMultilevel"/>
    <w:tmpl w:val="DFE87C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5621380">
    <w:abstractNumId w:val="12"/>
  </w:num>
  <w:num w:numId="2" w16cid:durableId="252473058">
    <w:abstractNumId w:val="9"/>
    <w:lvlOverride w:ilvl="0">
      <w:lvl w:ilvl="0">
        <w:start w:val="0"/>
        <w:numFmt w:val="decimal"/>
        <w:lvlJc w:val="left"/>
        <w:rPr>
          <w:rFonts w:cs="Times New Roman"/>
        </w:rPr>
      </w:lvl>
    </w:lvlOverride>
    <w:lvlOverride w:ilvl="1">
      <w:lvl w:ilvl="1">
        <w:start w:val="0"/>
        <w:numFmt w:val="decimal"/>
        <w:lvlJc w:val="left"/>
        <w:rPr>
          <w:rFonts w:cs="Times New Roman"/>
        </w:rPr>
      </w:lvl>
    </w:lvlOverride>
    <w:lvlOverride w:ilvl="2">
      <w:lvl w:ilvl="2">
        <w:start w:val="0"/>
        <w:numFmt w:val="decimal"/>
        <w:lvlJc w:val="left"/>
        <w:rPr>
          <w:rFonts w:cs="Times New Roman"/>
        </w:rPr>
      </w:lvl>
    </w:lvlOverride>
    <w:lvlOverride w:ilvl="3">
      <w:lvl w:ilvl="3">
        <w:start w:val="1"/>
        <w:numFmt w:val="decimal"/>
        <w:lvlText w:val="%4."/>
        <w:lvlJc w:val="left"/>
        <w:pPr>
          <w:tabs>
            <w:tab w:val="num" w:pos="2880"/>
          </w:tabs>
          <w:ind w:left="2880" w:hanging="360"/>
        </w:pPr>
        <w:rPr>
          <w:rFonts w:cs="Times New Roman" w:hint="default"/>
          <w:sz w:val="72"/>
          <w:szCs w:val="72"/>
        </w:rPr>
      </w:lvl>
    </w:lvlOverride>
  </w:num>
  <w:num w:numId="3" w16cid:durableId="593708932">
    <w:abstractNumId w:val="0"/>
  </w:num>
  <w:num w:numId="4" w16cid:durableId="1616013372">
    <w:abstractNumId w:val="21"/>
  </w:num>
  <w:num w:numId="5" w16cid:durableId="185095538">
    <w:abstractNumId w:val="13"/>
  </w:num>
  <w:num w:numId="6" w16cid:durableId="1311398596">
    <w:abstractNumId w:val="7"/>
  </w:num>
  <w:num w:numId="7" w16cid:durableId="1467239257">
    <w:abstractNumId w:val="8"/>
  </w:num>
  <w:num w:numId="8" w16cid:durableId="1715233409">
    <w:abstractNumId w:val="15"/>
  </w:num>
  <w:num w:numId="9" w16cid:durableId="798500319">
    <w:abstractNumId w:val="1"/>
  </w:num>
  <w:num w:numId="10" w16cid:durableId="397289572">
    <w:abstractNumId w:val="20"/>
  </w:num>
  <w:num w:numId="11" w16cid:durableId="1347828853">
    <w:abstractNumId w:val="16"/>
  </w:num>
  <w:num w:numId="12" w16cid:durableId="53285782">
    <w:abstractNumId w:val="19"/>
  </w:num>
  <w:num w:numId="13" w16cid:durableId="572816603">
    <w:abstractNumId w:val="4"/>
  </w:num>
  <w:num w:numId="14" w16cid:durableId="1041049481">
    <w:abstractNumId w:val="5"/>
  </w:num>
  <w:num w:numId="15" w16cid:durableId="1920358039">
    <w:abstractNumId w:val="22"/>
  </w:num>
  <w:num w:numId="16" w16cid:durableId="922176854">
    <w:abstractNumId w:val="3"/>
  </w:num>
  <w:num w:numId="17" w16cid:durableId="391394307">
    <w:abstractNumId w:val="14"/>
  </w:num>
  <w:num w:numId="18" w16cid:durableId="218325287">
    <w:abstractNumId w:val="13"/>
  </w:num>
  <w:num w:numId="19" w16cid:durableId="989135954">
    <w:abstractNumId w:val="18"/>
  </w:num>
  <w:num w:numId="20" w16cid:durableId="1951736684">
    <w:abstractNumId w:val="6"/>
  </w:num>
  <w:num w:numId="21" w16cid:durableId="1308820606">
    <w:abstractNumId w:val="2"/>
  </w:num>
  <w:num w:numId="22" w16cid:durableId="1129317284">
    <w:abstractNumId w:val="10"/>
  </w:num>
  <w:num w:numId="23" w16cid:durableId="1506095864">
    <w:abstractNumId w:val="11"/>
  </w:num>
  <w:num w:numId="24" w16cid:durableId="250816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52"/>
    <w:rsid w:val="000121B0"/>
    <w:rsid w:val="00015432"/>
    <w:rsid w:val="00023044"/>
    <w:rsid w:val="00024215"/>
    <w:rsid w:val="0003040F"/>
    <w:rsid w:val="0004132C"/>
    <w:rsid w:val="00042D45"/>
    <w:rsid w:val="00061F9D"/>
    <w:rsid w:val="00070C72"/>
    <w:rsid w:val="00080ADE"/>
    <w:rsid w:val="00087306"/>
    <w:rsid w:val="000D156E"/>
    <w:rsid w:val="0012499F"/>
    <w:rsid w:val="00131344"/>
    <w:rsid w:val="00182CE2"/>
    <w:rsid w:val="001B3C78"/>
    <w:rsid w:val="001D0110"/>
    <w:rsid w:val="001D0AB3"/>
    <w:rsid w:val="002045D6"/>
    <w:rsid w:val="00227E93"/>
    <w:rsid w:val="00250032"/>
    <w:rsid w:val="00260A86"/>
    <w:rsid w:val="00263ED9"/>
    <w:rsid w:val="00265CFC"/>
    <w:rsid w:val="0027341D"/>
    <w:rsid w:val="00277208"/>
    <w:rsid w:val="0028799C"/>
    <w:rsid w:val="00290FF3"/>
    <w:rsid w:val="00295EB1"/>
    <w:rsid w:val="002B4E6E"/>
    <w:rsid w:val="002B7716"/>
    <w:rsid w:val="002C270E"/>
    <w:rsid w:val="002D5FB9"/>
    <w:rsid w:val="002F6572"/>
    <w:rsid w:val="003134CE"/>
    <w:rsid w:val="003332E9"/>
    <w:rsid w:val="0034685C"/>
    <w:rsid w:val="00347970"/>
    <w:rsid w:val="00360589"/>
    <w:rsid w:val="00360C6A"/>
    <w:rsid w:val="00360D09"/>
    <w:rsid w:val="0037268D"/>
    <w:rsid w:val="0037633D"/>
    <w:rsid w:val="00377D62"/>
    <w:rsid w:val="00380C82"/>
    <w:rsid w:val="003A1838"/>
    <w:rsid w:val="003A7D75"/>
    <w:rsid w:val="003B7364"/>
    <w:rsid w:val="003C3C52"/>
    <w:rsid w:val="003D5AB8"/>
    <w:rsid w:val="003F0DC2"/>
    <w:rsid w:val="00400042"/>
    <w:rsid w:val="00425B12"/>
    <w:rsid w:val="0043261B"/>
    <w:rsid w:val="0045091C"/>
    <w:rsid w:val="00457431"/>
    <w:rsid w:val="004730F1"/>
    <w:rsid w:val="004826A9"/>
    <w:rsid w:val="00496A7D"/>
    <w:rsid w:val="004A1779"/>
    <w:rsid w:val="004B2DEC"/>
    <w:rsid w:val="004B3DD0"/>
    <w:rsid w:val="004C61C1"/>
    <w:rsid w:val="004D12A8"/>
    <w:rsid w:val="004D28FB"/>
    <w:rsid w:val="004D5141"/>
    <w:rsid w:val="004F1D2C"/>
    <w:rsid w:val="00513FC4"/>
    <w:rsid w:val="0051449F"/>
    <w:rsid w:val="005252A1"/>
    <w:rsid w:val="005556AC"/>
    <w:rsid w:val="00586D32"/>
    <w:rsid w:val="005A50E0"/>
    <w:rsid w:val="005B0DFF"/>
    <w:rsid w:val="005D114E"/>
    <w:rsid w:val="005D68B6"/>
    <w:rsid w:val="005F16CC"/>
    <w:rsid w:val="005F6DFC"/>
    <w:rsid w:val="006222B5"/>
    <w:rsid w:val="00625FB8"/>
    <w:rsid w:val="00633178"/>
    <w:rsid w:val="0064172F"/>
    <w:rsid w:val="006567F0"/>
    <w:rsid w:val="00663BF3"/>
    <w:rsid w:val="00666426"/>
    <w:rsid w:val="006740EC"/>
    <w:rsid w:val="006744A1"/>
    <w:rsid w:val="00674AC8"/>
    <w:rsid w:val="006B7746"/>
    <w:rsid w:val="006C4F60"/>
    <w:rsid w:val="006E12E2"/>
    <w:rsid w:val="0070648C"/>
    <w:rsid w:val="007119F3"/>
    <w:rsid w:val="007257B1"/>
    <w:rsid w:val="00734CA5"/>
    <w:rsid w:val="00743A96"/>
    <w:rsid w:val="00750A7B"/>
    <w:rsid w:val="0075465B"/>
    <w:rsid w:val="007B668E"/>
    <w:rsid w:val="007C1FE8"/>
    <w:rsid w:val="007E00B4"/>
    <w:rsid w:val="007E5549"/>
    <w:rsid w:val="0081024B"/>
    <w:rsid w:val="00813392"/>
    <w:rsid w:val="00821A2C"/>
    <w:rsid w:val="00846CF4"/>
    <w:rsid w:val="008603A8"/>
    <w:rsid w:val="0087122F"/>
    <w:rsid w:val="00881001"/>
    <w:rsid w:val="008A3363"/>
    <w:rsid w:val="008A4E15"/>
    <w:rsid w:val="008B2723"/>
    <w:rsid w:val="008B50C0"/>
    <w:rsid w:val="008B59BD"/>
    <w:rsid w:val="008D25D3"/>
    <w:rsid w:val="008E3929"/>
    <w:rsid w:val="00904770"/>
    <w:rsid w:val="009051CE"/>
    <w:rsid w:val="00905356"/>
    <w:rsid w:val="009121DB"/>
    <w:rsid w:val="00941470"/>
    <w:rsid w:val="00950BCA"/>
    <w:rsid w:val="00957D66"/>
    <w:rsid w:val="009749B7"/>
    <w:rsid w:val="0099286F"/>
    <w:rsid w:val="009D3C51"/>
    <w:rsid w:val="009E7DD8"/>
    <w:rsid w:val="00A26C73"/>
    <w:rsid w:val="00A31A43"/>
    <w:rsid w:val="00A4455C"/>
    <w:rsid w:val="00A46ECA"/>
    <w:rsid w:val="00A94A6C"/>
    <w:rsid w:val="00AA48C4"/>
    <w:rsid w:val="00AE5D5B"/>
    <w:rsid w:val="00B03A26"/>
    <w:rsid w:val="00B24D9F"/>
    <w:rsid w:val="00B329A8"/>
    <w:rsid w:val="00B32F90"/>
    <w:rsid w:val="00B34072"/>
    <w:rsid w:val="00B34450"/>
    <w:rsid w:val="00B4188C"/>
    <w:rsid w:val="00B63E15"/>
    <w:rsid w:val="00B701CE"/>
    <w:rsid w:val="00B81E91"/>
    <w:rsid w:val="00BB6B2F"/>
    <w:rsid w:val="00BC7B0A"/>
    <w:rsid w:val="00BD4C43"/>
    <w:rsid w:val="00C012E1"/>
    <w:rsid w:val="00C029BD"/>
    <w:rsid w:val="00C11C76"/>
    <w:rsid w:val="00C12AC4"/>
    <w:rsid w:val="00C43837"/>
    <w:rsid w:val="00C43AFB"/>
    <w:rsid w:val="00C716CA"/>
    <w:rsid w:val="00C71D8D"/>
    <w:rsid w:val="00C80239"/>
    <w:rsid w:val="00C80BF1"/>
    <w:rsid w:val="00CC022F"/>
    <w:rsid w:val="00CC4F8F"/>
    <w:rsid w:val="00CD0A43"/>
    <w:rsid w:val="00CD5B64"/>
    <w:rsid w:val="00CD6AA1"/>
    <w:rsid w:val="00CF4277"/>
    <w:rsid w:val="00D010BD"/>
    <w:rsid w:val="00D26464"/>
    <w:rsid w:val="00D75D19"/>
    <w:rsid w:val="00DA49EC"/>
    <w:rsid w:val="00DC6809"/>
    <w:rsid w:val="00DD16DC"/>
    <w:rsid w:val="00DF77C0"/>
    <w:rsid w:val="00E44873"/>
    <w:rsid w:val="00E55854"/>
    <w:rsid w:val="00E57537"/>
    <w:rsid w:val="00E70730"/>
    <w:rsid w:val="00E70EE3"/>
    <w:rsid w:val="00E767DB"/>
    <w:rsid w:val="00E77886"/>
    <w:rsid w:val="00E931ED"/>
    <w:rsid w:val="00EB1C14"/>
    <w:rsid w:val="00EF5593"/>
    <w:rsid w:val="00F25622"/>
    <w:rsid w:val="00F3040E"/>
    <w:rsid w:val="00F420C9"/>
    <w:rsid w:val="00F71B5E"/>
    <w:rsid w:val="00F751AD"/>
    <w:rsid w:val="00F95120"/>
    <w:rsid w:val="00FA2E1C"/>
    <w:rsid w:val="00FB50B4"/>
    <w:rsid w:val="00FD5B86"/>
    <w:rsid w:val="00FE792C"/>
    <w:rsid w:val="00FE7FDA"/>
  </w:rsids>
  <m:mathPr>
    <m:mathFont m:val="Cambria Math"/>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9292F47"/>
  <w15:chartTrackingRefBased/>
  <w15:docId w15:val="{7341755B-9FD7-47A3-AEEB-92147650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C52"/>
    <w:pPr>
      <w:spacing w:after="160" w:line="259" w:lineRule="auto"/>
    </w:pPr>
    <w:rPr>
      <w:rFonts w:cs="Times New Roman"/>
      <w:sz w:val="22"/>
      <w:szCs w:val="22"/>
      <w:lang w:val="en-US" w:eastAsia="en-US"/>
    </w:rPr>
  </w:style>
  <w:style w:type="paragraph" w:styleId="Heading3">
    <w:name w:val="heading 3"/>
    <w:basedOn w:val="Normal"/>
    <w:next w:val="Normal"/>
    <w:link w:val="Heading3Char"/>
    <w:uiPriority w:val="9"/>
    <w:qFormat/>
    <w:rsid w:val="003C3C52"/>
    <w:pPr>
      <w:keepNext/>
      <w:numPr>
        <w:ilvl w:val="2"/>
        <w:numId w:val="6"/>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3C3C52"/>
    <w:rPr>
      <w:rFonts w:ascii="Arial" w:eastAsia="SimSun" w:hAnsi="Arial" w:cs="Arial"/>
      <w:b/>
      <w:bCs/>
      <w:sz w:val="26"/>
      <w:szCs w:val="26"/>
      <w:lang w:val="en-AU" w:eastAsia="zh-CN"/>
    </w:rPr>
  </w:style>
  <w:style w:type="paragraph" w:styleId="NoSpacing">
    <w:name w:val="No Spacing"/>
    <w:uiPriority w:val="1"/>
    <w:qFormat/>
    <w:rsid w:val="003C3C52"/>
    <w:rPr>
      <w:rFonts w:cs="Times New Roman"/>
      <w:sz w:val="22"/>
      <w:szCs w:val="22"/>
      <w:lang w:val="en-US" w:eastAsia="en-US"/>
    </w:rPr>
  </w:style>
  <w:style w:type="table" w:styleId="TableGrid">
    <w:name w:val="Table Grid"/>
    <w:basedOn w:val="TableNormal"/>
    <w:uiPriority w:val="39"/>
    <w:rsid w:val="003C3C5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rsid w:val="003C3C52"/>
    <w:pPr>
      <w:adjustRightInd w:val="0"/>
      <w:snapToGrid w:val="0"/>
      <w:spacing w:before="120" w:after="120" w:line="240" w:lineRule="auto"/>
      <w:jc w:val="center"/>
    </w:pPr>
    <w:rPr>
      <w:rFonts w:ascii="Times New Roman" w:hAnsi="Times New Roman"/>
      <w:szCs w:val="24"/>
      <w:lang w:val="en-GB" w:eastAsia="en-GB"/>
    </w:rPr>
  </w:style>
  <w:style w:type="paragraph" w:customStyle="1" w:styleId="IEEEParagraph">
    <w:name w:val="IEEE Paragraph"/>
    <w:basedOn w:val="Normal"/>
    <w:link w:val="IEEEParagraphChar"/>
    <w:rsid w:val="003C3C52"/>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Heading1">
    <w:name w:val="IEEE Heading 1"/>
    <w:basedOn w:val="Normal"/>
    <w:next w:val="IEEEParagraph"/>
    <w:rsid w:val="003C3C52"/>
    <w:pPr>
      <w:numPr>
        <w:numId w:val="3"/>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character" w:customStyle="1" w:styleId="IEEEParagraphChar">
    <w:name w:val="IEEE Paragraph Char"/>
    <w:link w:val="IEEEParagraph"/>
    <w:locked/>
    <w:rsid w:val="003C3C52"/>
    <w:rPr>
      <w:rFonts w:ascii="Times New Roman" w:eastAsia="SimSun" w:hAnsi="Times New Roman"/>
      <w:sz w:val="24"/>
      <w:lang w:val="en-AU" w:eastAsia="zh-CN"/>
    </w:rPr>
  </w:style>
  <w:style w:type="character" w:customStyle="1" w:styleId="shorttext">
    <w:name w:val="short_text"/>
    <w:rsid w:val="003C3C52"/>
    <w:rPr>
      <w:rFonts w:cs="Times New Roman"/>
    </w:rPr>
  </w:style>
  <w:style w:type="character" w:customStyle="1" w:styleId="longtext">
    <w:name w:val="long_text"/>
    <w:rsid w:val="003C3C52"/>
    <w:rPr>
      <w:rFonts w:cs="Times New Roman"/>
    </w:rPr>
  </w:style>
  <w:style w:type="character" w:customStyle="1" w:styleId="mediumtext">
    <w:name w:val="medium_text"/>
    <w:rsid w:val="003C3C52"/>
    <w:rPr>
      <w:rFonts w:cs="Times New Roman"/>
    </w:rPr>
  </w:style>
  <w:style w:type="paragraph" w:customStyle="1" w:styleId="IEEEHeading2">
    <w:name w:val="IEEE Heading 2"/>
    <w:basedOn w:val="Normal"/>
    <w:next w:val="IEEEParagraph"/>
    <w:rsid w:val="003C3C52"/>
    <w:pPr>
      <w:numPr>
        <w:numId w:val="5"/>
      </w:numPr>
      <w:adjustRightInd w:val="0"/>
      <w:snapToGrid w:val="0"/>
      <w:spacing w:before="150" w:after="60" w:line="240" w:lineRule="auto"/>
    </w:pPr>
    <w:rPr>
      <w:rFonts w:ascii="Times New Roman" w:eastAsia="SimSun" w:hAnsi="Times New Roman"/>
      <w:i/>
      <w:sz w:val="20"/>
      <w:szCs w:val="24"/>
      <w:lang w:val="en-AU" w:eastAsia="zh-CN"/>
    </w:rPr>
  </w:style>
  <w:style w:type="paragraph" w:customStyle="1" w:styleId="IEEETableCell">
    <w:name w:val="IEEE Table Cell"/>
    <w:basedOn w:val="IEEEParagraph"/>
    <w:rsid w:val="003C3C52"/>
    <w:pPr>
      <w:ind w:firstLine="0"/>
      <w:jc w:val="left"/>
    </w:pPr>
    <w:rPr>
      <w:sz w:val="18"/>
    </w:rPr>
  </w:style>
  <w:style w:type="paragraph" w:customStyle="1" w:styleId="IEEEHeading3">
    <w:name w:val="IEEE Heading 3"/>
    <w:basedOn w:val="Normal"/>
    <w:next w:val="IEEEParagraph"/>
    <w:link w:val="IEEEHeading3Char"/>
    <w:rsid w:val="003C3C52"/>
    <w:pPr>
      <w:numPr>
        <w:numId w:val="4"/>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locked/>
    <w:rsid w:val="003C3C52"/>
    <w:rPr>
      <w:rFonts w:ascii="Times New Roman" w:eastAsia="SimSun" w:hAnsi="Times New Roman"/>
      <w:i/>
      <w:sz w:val="24"/>
      <w:lang w:val="en-AU" w:eastAsia="zh-CN"/>
    </w:rPr>
  </w:style>
  <w:style w:type="paragraph" w:customStyle="1" w:styleId="IEEEFigure">
    <w:name w:val="IEEE Figure"/>
    <w:basedOn w:val="Normal"/>
    <w:next w:val="Normal"/>
    <w:rsid w:val="003C3C52"/>
    <w:pPr>
      <w:spacing w:after="0" w:line="240" w:lineRule="auto"/>
      <w:jc w:val="center"/>
    </w:pPr>
    <w:rPr>
      <w:rFonts w:ascii="Times New Roman" w:eastAsia="SimSun" w:hAnsi="Times New Roman"/>
      <w:sz w:val="24"/>
      <w:szCs w:val="24"/>
      <w:lang w:val="en-AU" w:eastAsia="zh-CN"/>
    </w:rPr>
  </w:style>
  <w:style w:type="paragraph" w:customStyle="1" w:styleId="IEEEReferenceItem">
    <w:name w:val="IEEE Reference Item"/>
    <w:basedOn w:val="Normal"/>
    <w:rsid w:val="003C3C52"/>
    <w:pPr>
      <w:numPr>
        <w:numId w:val="6"/>
      </w:numPr>
      <w:adjustRightInd w:val="0"/>
      <w:snapToGrid w:val="0"/>
      <w:spacing w:after="0" w:line="240" w:lineRule="auto"/>
      <w:jc w:val="both"/>
    </w:pPr>
    <w:rPr>
      <w:rFonts w:ascii="Times New Roman" w:eastAsia="SimSun" w:hAnsi="Times New Roman"/>
      <w:sz w:val="16"/>
      <w:szCs w:val="24"/>
      <w:lang w:eastAsia="zh-CN"/>
    </w:rPr>
  </w:style>
  <w:style w:type="paragraph" w:customStyle="1" w:styleId="IEEEFigureCaptionMulti-Lines">
    <w:name w:val="IEEE Figure Caption Multi-Lines"/>
    <w:basedOn w:val="Normal"/>
    <w:next w:val="IEEEParagraph"/>
    <w:rsid w:val="003C3C52"/>
    <w:pPr>
      <w:spacing w:before="120" w:after="120" w:line="240" w:lineRule="auto"/>
      <w:jc w:val="both"/>
    </w:pPr>
    <w:rPr>
      <w:rFonts w:ascii="Times New Roman" w:eastAsia="SimSun" w:hAnsi="Times New Roman"/>
      <w:sz w:val="16"/>
      <w:szCs w:val="24"/>
      <w:lang w:val="en-AU" w:eastAsia="zh-CN"/>
    </w:rPr>
  </w:style>
  <w:style w:type="paragraph" w:customStyle="1" w:styleId="IEEETableHeaderCentered">
    <w:name w:val="IEEE Table Header Centered"/>
    <w:basedOn w:val="IEEETableCell"/>
    <w:rsid w:val="003C3C52"/>
    <w:pPr>
      <w:jc w:val="center"/>
    </w:pPr>
    <w:rPr>
      <w:b/>
      <w:bCs/>
    </w:rPr>
  </w:style>
  <w:style w:type="paragraph" w:customStyle="1" w:styleId="IEEETableHeaderLeft-Justified">
    <w:name w:val="IEEE Table Header Left-Justified"/>
    <w:basedOn w:val="IEEETableCell"/>
    <w:rsid w:val="003C3C52"/>
    <w:rPr>
      <w:b/>
      <w:bCs/>
    </w:rPr>
  </w:style>
  <w:style w:type="paragraph" w:customStyle="1" w:styleId="Text">
    <w:name w:val="Text"/>
    <w:basedOn w:val="Normal"/>
    <w:rsid w:val="003C3C52"/>
    <w:pPr>
      <w:widowControl w:val="0"/>
      <w:autoSpaceDE w:val="0"/>
      <w:autoSpaceDN w:val="0"/>
      <w:spacing w:after="0" w:line="252" w:lineRule="auto"/>
      <w:ind w:firstLine="202"/>
      <w:jc w:val="both"/>
    </w:pPr>
    <w:rPr>
      <w:rFonts w:ascii="Times New Roman" w:hAnsi="Times New Roman"/>
      <w:sz w:val="20"/>
      <w:szCs w:val="20"/>
    </w:rPr>
  </w:style>
  <w:style w:type="paragraph" w:customStyle="1" w:styleId="Style2">
    <w:name w:val="Style 2"/>
    <w:rsid w:val="003C3C52"/>
    <w:pPr>
      <w:widowControl w:val="0"/>
      <w:autoSpaceDE w:val="0"/>
      <w:autoSpaceDN w:val="0"/>
      <w:ind w:left="288" w:hanging="288"/>
      <w:jc w:val="both"/>
    </w:pPr>
    <w:rPr>
      <w:rFonts w:ascii="Garamond" w:eastAsia="MS Mincho" w:hAnsi="Garamond" w:cs="Garamond"/>
      <w:lang w:val="en-US" w:eastAsia="ja-JP"/>
    </w:rPr>
  </w:style>
  <w:style w:type="character" w:customStyle="1" w:styleId="CharacterStyle1">
    <w:name w:val="Character Style 1"/>
    <w:rsid w:val="003C3C52"/>
    <w:rPr>
      <w:rFonts w:ascii="Garamond" w:hAnsi="Garamond"/>
      <w:sz w:val="20"/>
    </w:rPr>
  </w:style>
  <w:style w:type="paragraph" w:styleId="Header">
    <w:name w:val="header"/>
    <w:basedOn w:val="Normal"/>
    <w:link w:val="HeaderChar"/>
    <w:uiPriority w:val="99"/>
    <w:unhideWhenUsed/>
    <w:rsid w:val="003C3C52"/>
    <w:pPr>
      <w:tabs>
        <w:tab w:val="center" w:pos="4680"/>
        <w:tab w:val="right" w:pos="9360"/>
      </w:tabs>
      <w:spacing w:after="0" w:line="240" w:lineRule="auto"/>
    </w:pPr>
  </w:style>
  <w:style w:type="character" w:customStyle="1" w:styleId="HeaderChar">
    <w:name w:val="Header Char"/>
    <w:link w:val="Header"/>
    <w:uiPriority w:val="99"/>
    <w:locked/>
    <w:rsid w:val="003C3C52"/>
    <w:rPr>
      <w:rFonts w:cs="Times New Roman"/>
    </w:rPr>
  </w:style>
  <w:style w:type="paragraph" w:styleId="Footer">
    <w:name w:val="footer"/>
    <w:basedOn w:val="Normal"/>
    <w:link w:val="FooterChar"/>
    <w:uiPriority w:val="99"/>
    <w:unhideWhenUsed/>
    <w:rsid w:val="003C3C52"/>
    <w:pPr>
      <w:tabs>
        <w:tab w:val="center" w:pos="4680"/>
        <w:tab w:val="right" w:pos="9360"/>
      </w:tabs>
      <w:spacing w:after="0" w:line="240" w:lineRule="auto"/>
    </w:pPr>
  </w:style>
  <w:style w:type="character" w:customStyle="1" w:styleId="FooterChar">
    <w:name w:val="Footer Char"/>
    <w:link w:val="Footer"/>
    <w:uiPriority w:val="99"/>
    <w:locked/>
    <w:rsid w:val="003C3C52"/>
    <w:rPr>
      <w:rFonts w:cs="Times New Roman"/>
    </w:rPr>
  </w:style>
  <w:style w:type="numbering" w:customStyle="1" w:styleId="IEEEBullet1">
    <w:name w:val="IEEE Bullet 1"/>
    <w:pPr>
      <w:numPr>
        <w:numId w:val="1"/>
      </w:numPr>
    </w:pPr>
  </w:style>
  <w:style w:type="paragraph" w:styleId="ListParagraph">
    <w:name w:val="List Paragraph"/>
    <w:aliases w:val="Body of text,Body of text+1,Body of text+2,Body of text+3,List Paragraph11"/>
    <w:basedOn w:val="Normal"/>
    <w:link w:val="ListParagraphChar"/>
    <w:uiPriority w:val="34"/>
    <w:qFormat/>
    <w:rsid w:val="0004132C"/>
    <w:pPr>
      <w:ind w:left="720"/>
      <w:contextualSpacing/>
    </w:pPr>
  </w:style>
  <w:style w:type="character" w:customStyle="1" w:styleId="ListParagraphChar">
    <w:name w:val="List Paragraph Char"/>
    <w:aliases w:val="Body of text Char,Body of text+1 Char,Body of text+2 Char,Body of text+3 Char,List Paragraph11 Char"/>
    <w:link w:val="ListParagraph"/>
    <w:uiPriority w:val="1"/>
    <w:locked/>
    <w:rsid w:val="0004132C"/>
    <w:rPr>
      <w:rFonts w:cs="Times New Roman"/>
    </w:rPr>
  </w:style>
  <w:style w:type="table" w:styleId="PlainTable2">
    <w:name w:val="Plain Table 2"/>
    <w:basedOn w:val="TableNormal"/>
    <w:uiPriority w:val="42"/>
    <w:rsid w:val="0004132C"/>
    <w:rPr>
      <w:rFonts w:eastAsia="Calibri" w:cs="Times New Roman"/>
    </w:rPr>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itle">
    <w:name w:val="Title"/>
    <w:basedOn w:val="Normal"/>
    <w:link w:val="TitleChar"/>
    <w:uiPriority w:val="10"/>
    <w:qFormat/>
    <w:rsid w:val="00D75D19"/>
    <w:pPr>
      <w:widowControl w:val="0"/>
      <w:autoSpaceDE w:val="0"/>
      <w:autoSpaceDN w:val="0"/>
      <w:spacing w:after="0" w:line="240" w:lineRule="auto"/>
      <w:ind w:left="3701" w:right="252" w:hanging="3358"/>
    </w:pPr>
    <w:rPr>
      <w:rFonts w:ascii="Times New Roman" w:hAnsi="Times New Roman"/>
      <w:b/>
      <w:bCs/>
      <w:sz w:val="28"/>
      <w:szCs w:val="28"/>
      <w:lang w:val="id"/>
    </w:rPr>
  </w:style>
  <w:style w:type="character" w:customStyle="1" w:styleId="TitleChar">
    <w:name w:val="Title Char"/>
    <w:link w:val="Title"/>
    <w:uiPriority w:val="10"/>
    <w:rsid w:val="00D75D19"/>
    <w:rPr>
      <w:rFonts w:ascii="Times New Roman" w:hAnsi="Times New Roman" w:cs="Times New Roman"/>
      <w:b/>
      <w:bCs/>
      <w:sz w:val="28"/>
      <w:szCs w:val="28"/>
      <w:lang w:val="id" w:eastAsia="en-US"/>
    </w:rPr>
  </w:style>
  <w:style w:type="paragraph" w:customStyle="1" w:styleId="TableParagraph">
    <w:name w:val="Table Paragraph"/>
    <w:basedOn w:val="Normal"/>
    <w:uiPriority w:val="1"/>
    <w:qFormat/>
    <w:rsid w:val="00D75D19"/>
    <w:pPr>
      <w:widowControl w:val="0"/>
      <w:autoSpaceDE w:val="0"/>
      <w:autoSpaceDN w:val="0"/>
      <w:spacing w:after="0" w:line="240" w:lineRule="auto"/>
    </w:pPr>
    <w:rPr>
      <w:rFonts w:ascii="Times New Roman" w:hAnsi="Times New Roman"/>
      <w:lang w:val="id"/>
    </w:rPr>
  </w:style>
  <w:style w:type="character" w:styleId="Hyperlink">
    <w:name w:val="Hyperlink"/>
    <w:uiPriority w:val="99"/>
    <w:unhideWhenUsed/>
    <w:rsid w:val="00D75D19"/>
    <w:rPr>
      <w:color w:val="0000FF"/>
      <w:u w:val="single"/>
    </w:rPr>
  </w:style>
  <w:style w:type="paragraph" w:styleId="FootnoteText">
    <w:name w:val="footnote text"/>
    <w:basedOn w:val="Normal"/>
    <w:link w:val="FootnoteTextChar"/>
    <w:uiPriority w:val="99"/>
    <w:unhideWhenUsed/>
    <w:rsid w:val="00AA48C4"/>
    <w:pPr>
      <w:spacing w:after="0" w:line="240" w:lineRule="auto"/>
    </w:pPr>
    <w:rPr>
      <w:rFonts w:eastAsia="Calibri"/>
      <w:sz w:val="20"/>
      <w:szCs w:val="20"/>
    </w:rPr>
  </w:style>
  <w:style w:type="character" w:customStyle="1" w:styleId="FootnoteTextChar">
    <w:name w:val="Footnote Text Char"/>
    <w:link w:val="FootnoteText"/>
    <w:uiPriority w:val="99"/>
    <w:rsid w:val="00AA48C4"/>
    <w:rPr>
      <w:rFonts w:eastAsia="Calibri" w:cs="Times New Roman"/>
      <w:lang w:val="en-US" w:eastAsia="en-US"/>
    </w:rPr>
  </w:style>
  <w:style w:type="paragraph" w:styleId="List2">
    <w:name w:val="List 2"/>
    <w:basedOn w:val="Normal"/>
    <w:uiPriority w:val="99"/>
    <w:rsid w:val="000121B0"/>
    <w:pPr>
      <w:spacing w:after="0" w:line="240" w:lineRule="auto"/>
      <w:ind w:left="720" w:hanging="360"/>
    </w:pPr>
    <w:rPr>
      <w:rFonts w:ascii="Times New Roman" w:hAnsi="Times New Roman"/>
      <w:sz w:val="24"/>
      <w:szCs w:val="24"/>
    </w:rPr>
  </w:style>
  <w:style w:type="character" w:styleId="UnresolvedMention">
    <w:name w:val="Unresolved Mention"/>
    <w:uiPriority w:val="99"/>
    <w:semiHidden/>
    <w:unhideWhenUsed/>
    <w:rsid w:val="00CD5B64"/>
    <w:rPr>
      <w:color w:val="605E5C"/>
      <w:shd w:val="clear" w:color="auto" w:fill="E1DFDD"/>
    </w:rPr>
  </w:style>
  <w:style w:type="paragraph" w:styleId="Caption">
    <w:name w:val="caption"/>
    <w:basedOn w:val="Normal"/>
    <w:next w:val="Normal"/>
    <w:uiPriority w:val="35"/>
    <w:unhideWhenUsed/>
    <w:qFormat/>
    <w:rsid w:val="008E3929"/>
    <w:pPr>
      <w:spacing w:after="200" w:line="240" w:lineRule="auto"/>
    </w:pPr>
    <w:rPr>
      <w:rFonts w:eastAsia="Calibri" w:cs="Arial"/>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nkhofifah12@gmail.com" TargetMode="External" /><Relationship Id="rId6" Type="http://schemas.openxmlformats.org/officeDocument/2006/relationships/hyperlink" Target="mailto:moharifin957@gmail.com" TargetMode="External" /><Relationship Id="rId7" Type="http://schemas.openxmlformats.org/officeDocument/2006/relationships/chart" Target="charts/chart1.xml" /><Relationship Id="rId8" Type="http://schemas.openxmlformats.org/officeDocument/2006/relationships/header" Target="header1.xml" /><Relationship Id="rId9" Type="http://schemas.openxmlformats.org/officeDocument/2006/relationships/header" Target="header2.xml" /></Relationships>
</file>

<file path=word/charts/_rels/chart1.xml.rels><?xml version="1.0" encoding="utf-8" standalone="yes"?><Relationships xmlns="http://schemas.openxmlformats.org/package/2006/relationships"><Relationship Id="rId1" Type="http://schemas.openxmlformats.org/officeDocument/2006/relationships/oleObject" Target="file:///C:\Users\user\Downloads\DATA%20NILAI%209SKRIPSI).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T</a:t>
            </a:r>
            <a:r>
              <a:rPr lang="en-US" sz="1200">
                <a:solidFill>
                  <a:schemeClr val="tx1"/>
                </a:solidFill>
              </a:rPr>
              <a:t>HE</a:t>
            </a:r>
            <a:r>
              <a:rPr lang="en-US" sz="1200" baseline="0">
                <a:solidFill>
                  <a:schemeClr val="tx1"/>
                </a:solidFill>
              </a:rPr>
              <a:t> DIFFERENCE VALUE BETWEEN PRE-TEST AND POST-TEST</a:t>
            </a:r>
            <a:endParaRPr lang="en-US" sz="1200">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MEAN!$A$1:$B$3</c:f>
              <c:strCache>
                <c:ptCount val="2"/>
                <c:pt idx="0">
                  <c:v>PRE-TEST</c:v>
                </c:pt>
                <c:pt idx="1">
                  <c:v>POST-TEST</c:v>
                </c:pt>
              </c:strCache>
            </c:strRef>
          </c:cat>
          <c:val>
            <c:numRef>
              <c:f>MEAN!$A$4:$B$4</c:f>
              <c:numCache>
                <c:formatCode>General</c:formatCode>
                <c:ptCount val="2"/>
                <c:pt idx="0">
                  <c:v>35</c:v>
                </c:pt>
                <c:pt idx="1">
                  <c:v>70</c:v>
                </c:pt>
              </c:numCache>
            </c:numRef>
          </c:val>
          <c:extLst>
            <c:ext xmlns:c16="http://schemas.microsoft.com/office/drawing/2014/chart" uri="{C3380CC4-5D6E-409C-BE32-E72D297353CC}">
              <c16:uniqueId val="{00000000-1547-4336-8C12-A3E288984BDF}"/>
            </c:ext>
          </c:extLst>
        </c:ser>
        <c:dLbls>
          <c:showLegendKey val="0"/>
          <c:showVal val="0"/>
          <c:showCatName val="0"/>
          <c:showSerName val="0"/>
          <c:showPercent val="0"/>
          <c:showBubbleSize val="0"/>
        </c:dLbls>
        <c:gapWidth val="150"/>
        <c:shape val="box"/>
        <c:axId val="554718704"/>
        <c:axId val="554719424"/>
        <c:axId val="0"/>
      </c:bar3DChart>
      <c:catAx>
        <c:axId val="554718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4719424"/>
        <c:crosses val="autoZero"/>
        <c:auto val="1"/>
        <c:lblAlgn val="ctr"/>
        <c:lblOffset val="100"/>
        <c:noMultiLvlLbl val="0"/>
      </c:catAx>
      <c:valAx>
        <c:axId val="55471942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4718704"/>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73C76-E422-4F83-B0E7-AD9B19E9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Who Am I</dc:creator>
  <cp:lastModifiedBy>labib halim</cp:lastModifiedBy>
  <cp:revision>4</cp:revision>
  <cp:lastPrinted>2023-09-21T01:47:00Z</cp:lastPrinted>
  <dcterms:created xsi:type="dcterms:W3CDTF">2024-10-01T03:01:00Z</dcterms:created>
  <dcterms:modified xsi:type="dcterms:W3CDTF">2024-10-04T06:26:00Z</dcterms:modified>
</cp:coreProperties>
</file>